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  <w:t>：</w:t>
      </w:r>
    </w:p>
    <w:p>
      <w:pPr>
        <w:spacing w:line="360" w:lineRule="auto"/>
        <w:jc w:val="center"/>
        <w:rPr>
          <w:rStyle w:val="5"/>
          <w:rFonts w:hint="eastAsia" w:cs="宋体"/>
          <w:bCs/>
          <w:sz w:val="40"/>
          <w:szCs w:val="40"/>
          <w:lang w:bidi="ar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40"/>
          <w:szCs w:val="40"/>
          <w:lang w:bidi="ar"/>
        </w:rPr>
        <w:t>截至20</w:t>
      </w:r>
      <w:r>
        <w:rPr>
          <w:rFonts w:ascii="黑体" w:hAnsi="宋体" w:eastAsia="黑体" w:cs="宋体"/>
          <w:bCs/>
          <w:color w:val="000000"/>
          <w:kern w:val="0"/>
          <w:sz w:val="40"/>
          <w:szCs w:val="40"/>
          <w:lang w:bidi="ar"/>
        </w:rPr>
        <w:t>2</w:t>
      </w:r>
      <w:r>
        <w:rPr>
          <w:rFonts w:hint="eastAsia" w:ascii="黑体" w:hAnsi="宋体" w:eastAsia="黑体" w:cs="宋体"/>
          <w:bCs/>
          <w:color w:val="000000"/>
          <w:kern w:val="0"/>
          <w:sz w:val="40"/>
          <w:szCs w:val="40"/>
          <w:lang w:bidi="ar"/>
        </w:rPr>
        <w:t>2年</w:t>
      </w:r>
      <w:r>
        <w:rPr>
          <w:rFonts w:ascii="黑体" w:hAnsi="宋体" w:eastAsia="黑体" w:cs="宋体"/>
          <w:bCs/>
          <w:color w:val="000000"/>
          <w:kern w:val="0"/>
          <w:sz w:val="40"/>
          <w:szCs w:val="40"/>
          <w:lang w:bidi="ar"/>
        </w:rPr>
        <w:t>7</w:t>
      </w:r>
      <w:r>
        <w:rPr>
          <w:rFonts w:hint="eastAsia" w:ascii="黑体" w:hAnsi="宋体" w:eastAsia="黑体" w:cs="宋体"/>
          <w:bCs/>
          <w:color w:val="000000"/>
          <w:kern w:val="0"/>
          <w:sz w:val="40"/>
          <w:szCs w:val="40"/>
          <w:lang w:bidi="ar"/>
        </w:rPr>
        <w:t>月</w:t>
      </w:r>
      <w:r>
        <w:rPr>
          <w:rFonts w:ascii="黑体" w:hAnsi="宋体" w:eastAsia="黑体" w:cs="宋体"/>
          <w:bCs/>
          <w:color w:val="000000"/>
          <w:kern w:val="0"/>
          <w:sz w:val="40"/>
          <w:szCs w:val="40"/>
          <w:lang w:bidi="ar"/>
        </w:rPr>
        <w:t>31</w:t>
      </w:r>
      <w:r>
        <w:rPr>
          <w:rFonts w:hint="eastAsia" w:ascii="黑体" w:hAnsi="宋体" w:eastAsia="黑体" w:cs="宋体"/>
          <w:bCs/>
          <w:color w:val="000000"/>
          <w:kern w:val="0"/>
          <w:sz w:val="40"/>
          <w:szCs w:val="40"/>
          <w:lang w:bidi="ar"/>
        </w:rPr>
        <w:t>日</w:t>
      </w:r>
    </w:p>
    <w:p>
      <w:pPr>
        <w:spacing w:line="360" w:lineRule="auto"/>
        <w:jc w:val="center"/>
        <w:rPr>
          <w:rFonts w:hint="eastAsia" w:ascii="黑体" w:eastAsia="黑体" w:cs="宋体"/>
          <w:sz w:val="40"/>
          <w:szCs w:val="40"/>
        </w:rPr>
      </w:pPr>
      <w:r>
        <w:rPr>
          <w:rStyle w:val="6"/>
          <w:rFonts w:hint="eastAsia" w:cs="宋体"/>
          <w:bCs/>
          <w:sz w:val="40"/>
          <w:szCs w:val="40"/>
          <w:lang w:bidi="ar"/>
        </w:rPr>
        <w:t>银行投放纳入清江浦区平台公司全口径债务统计的贷款资金</w:t>
      </w:r>
      <w:r>
        <w:rPr>
          <w:rFonts w:hint="eastAsia" w:ascii="黑体" w:hAnsi="宋体" w:eastAsia="黑体" w:cs="宋体"/>
          <w:sz w:val="40"/>
          <w:szCs w:val="40"/>
        </w:rPr>
        <w:t>统计表</w:t>
      </w:r>
    </w:p>
    <w:tbl>
      <w:tblPr>
        <w:tblStyle w:val="3"/>
        <w:tblpPr w:leftFromText="180" w:rightFromText="180" w:vertAnchor="text" w:horzAnchor="page" w:tblpX="1825" w:tblpY="578"/>
        <w:tblOverlap w:val="never"/>
        <w:tblW w:w="13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033"/>
        <w:gridCol w:w="1426"/>
        <w:gridCol w:w="1052"/>
        <w:gridCol w:w="1120"/>
        <w:gridCol w:w="822"/>
        <w:gridCol w:w="1205"/>
        <w:gridCol w:w="1426"/>
        <w:gridCol w:w="1257"/>
        <w:gridCol w:w="122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3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债务单位</w:t>
            </w: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融资方式</w:t>
            </w:r>
          </w:p>
        </w:tc>
        <w:tc>
          <w:tcPr>
            <w:tcW w:w="10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开始日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到期日</w:t>
            </w:r>
          </w:p>
        </w:tc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期限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合同金额</w:t>
            </w: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债务余额</w:t>
            </w:r>
          </w:p>
        </w:tc>
        <w:tc>
          <w:tcPr>
            <w:tcW w:w="12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合同成本</w:t>
            </w:r>
          </w:p>
        </w:tc>
        <w:tc>
          <w:tcPr>
            <w:tcW w:w="122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综合成本</w:t>
            </w: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平均成本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7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240" w:firstLineChars="100"/>
        <w:jc w:val="left"/>
        <w:rPr>
          <w:rFonts w:ascii="宋体" w:hAnsi="宋体" w:cs="宋体"/>
          <w:b/>
          <w:sz w:val="24"/>
          <w:highlight w:val="yellow"/>
        </w:rPr>
      </w:pPr>
      <w:r>
        <w:rPr>
          <w:rFonts w:hint="eastAsia" w:ascii="宋体" w:cs="宋体"/>
          <w:color w:val="000000"/>
          <w:kern w:val="0"/>
          <w:sz w:val="24"/>
          <w:lang w:bidi="ar"/>
        </w:rPr>
        <w:t xml:space="preserve">填报单位： </w:t>
      </w:r>
      <w:r>
        <w:rPr>
          <w:rFonts w:hint="eastAsia" w:ascii="宋体" w:cs="宋体"/>
          <w:b/>
          <w:bCs/>
          <w:color w:val="000000"/>
          <w:kern w:val="0"/>
          <w:sz w:val="24"/>
          <w:lang w:bidi="ar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单位：万元</w:t>
      </w: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b/>
          <w:bCs/>
          <w:color w:val="FF0000"/>
          <w:kern w:val="0"/>
          <w:sz w:val="24"/>
          <w:lang w:bidi="ar"/>
        </w:rPr>
      </w:pPr>
    </w:p>
    <w:p>
      <w:pPr>
        <w:spacing w:line="360" w:lineRule="auto"/>
        <w:ind w:firstLine="482" w:firstLineChars="200"/>
        <w:rPr>
          <w:rFonts w:hint="eastAsia" w:ascii="宋体" w:cs="宋体"/>
          <w:kern w:val="0"/>
          <w:sz w:val="24"/>
          <w:lang w:bidi="ar"/>
        </w:rPr>
      </w:pPr>
      <w:r>
        <w:rPr>
          <w:rFonts w:hint="eastAsia" w:ascii="宋体" w:cs="宋体"/>
          <w:b/>
          <w:bCs/>
          <w:color w:val="FF0000"/>
          <w:kern w:val="0"/>
          <w:sz w:val="24"/>
          <w:lang w:bidi="ar"/>
        </w:rPr>
        <w:t>备注：该表在9月14日前报清江浦区财政局国资中心，以国资中心审核口径为准，审核后于9月16日前取回加盖投标人公章装订在投标文件中。</w:t>
      </w:r>
    </w:p>
    <w:p>
      <w:pPr>
        <w:spacing w:line="360" w:lineRule="auto"/>
        <w:ind w:firstLine="240" w:firstLineChars="100"/>
        <w:rPr>
          <w:rFonts w:ascii="宋体" w:cs="宋体"/>
          <w:kern w:val="0"/>
          <w:sz w:val="24"/>
          <w:lang w:bidi="ar"/>
        </w:rPr>
      </w:pPr>
      <w:r>
        <w:rPr>
          <w:rFonts w:hint="eastAsia" w:ascii="宋体" w:cs="宋体"/>
          <w:kern w:val="0"/>
          <w:sz w:val="24"/>
          <w:lang w:bidi="ar"/>
        </w:rPr>
        <w:t>债务余额认定数：                                                        综合平均成本认定数：</w:t>
      </w:r>
    </w:p>
    <w:p>
      <w:pPr>
        <w:spacing w:line="360" w:lineRule="auto"/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24"/>
          <w:lang w:bidi="ar"/>
        </w:rPr>
        <w:t>审核人:</w:t>
      </w:r>
      <w:r>
        <w:rPr>
          <w:rFonts w:ascii="宋体" w:hAnsi="宋体" w:cs="宋体"/>
          <w:kern w:val="0"/>
          <w:sz w:val="24"/>
          <w:lang w:bidi="ar"/>
        </w:rPr>
        <w:br w:type="page"/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  <w:t>附件6：</w:t>
      </w:r>
    </w:p>
    <w:p>
      <w:pPr>
        <w:spacing w:line="360" w:lineRule="auto"/>
        <w:jc w:val="center"/>
        <w:rPr>
          <w:rStyle w:val="6"/>
          <w:rFonts w:cs="宋体"/>
          <w:bCs/>
          <w:sz w:val="40"/>
          <w:szCs w:val="40"/>
          <w:lang w:bidi="ar"/>
        </w:rPr>
      </w:pPr>
      <w:r>
        <w:rPr>
          <w:rStyle w:val="6"/>
          <w:rFonts w:cs="宋体"/>
          <w:sz w:val="40"/>
          <w:szCs w:val="40"/>
        </w:rPr>
        <w:t>202</w:t>
      </w:r>
      <w:r>
        <w:rPr>
          <w:rStyle w:val="6"/>
          <w:rFonts w:hint="eastAsia" w:cs="宋体"/>
          <w:sz w:val="40"/>
          <w:szCs w:val="40"/>
        </w:rPr>
        <w:t>2年</w:t>
      </w:r>
      <w:r>
        <w:rPr>
          <w:rStyle w:val="6"/>
          <w:rFonts w:cs="宋体"/>
          <w:sz w:val="40"/>
          <w:szCs w:val="40"/>
        </w:rPr>
        <w:t>1-7</w:t>
      </w:r>
      <w:r>
        <w:rPr>
          <w:rStyle w:val="6"/>
          <w:rFonts w:hint="eastAsia" w:cs="宋体"/>
          <w:sz w:val="40"/>
          <w:szCs w:val="40"/>
        </w:rPr>
        <w:t>月</w:t>
      </w:r>
      <w:r>
        <w:rPr>
          <w:rStyle w:val="6"/>
          <w:rFonts w:hint="eastAsia" w:cs="宋体"/>
          <w:bCs/>
          <w:sz w:val="40"/>
          <w:szCs w:val="40"/>
          <w:u w:val="single"/>
          <w:lang w:bidi="ar"/>
        </w:rPr>
        <w:t xml:space="preserve"> </w:t>
      </w:r>
      <w:r>
        <w:rPr>
          <w:rStyle w:val="6"/>
          <w:rFonts w:cs="宋体"/>
          <w:bCs/>
          <w:sz w:val="40"/>
          <w:szCs w:val="40"/>
          <w:u w:val="single"/>
          <w:lang w:bidi="ar"/>
        </w:rPr>
        <w:t xml:space="preserve">          </w:t>
      </w:r>
      <w:r>
        <w:rPr>
          <w:rStyle w:val="6"/>
          <w:rFonts w:hint="eastAsia" w:cs="宋体"/>
          <w:bCs/>
          <w:sz w:val="40"/>
          <w:szCs w:val="40"/>
          <w:lang w:bidi="ar"/>
        </w:rPr>
        <w:t>银行在清江浦区缴纳税收统计表</w:t>
      </w:r>
      <w:r>
        <w:rPr>
          <w:rStyle w:val="6"/>
          <w:rFonts w:cs="宋体"/>
          <w:bCs/>
          <w:sz w:val="40"/>
          <w:szCs w:val="40"/>
          <w:lang w:bidi="ar"/>
        </w:rPr>
        <w:t xml:space="preserve"> </w:t>
      </w:r>
    </w:p>
    <w:p>
      <w:pPr>
        <w:spacing w:line="360" w:lineRule="auto"/>
        <w:ind w:firstLine="12240" w:firstLineChars="5100"/>
        <w:rPr>
          <w:rFonts w:hint="eastAsia" w:ascii="宋体" w:hAnsi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firstLine="12240" w:firstLineChars="5100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单位：万元</w:t>
      </w:r>
    </w:p>
    <w:tbl>
      <w:tblPr>
        <w:tblStyle w:val="3"/>
        <w:tblW w:w="150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849"/>
        <w:gridCol w:w="1845"/>
        <w:gridCol w:w="1845"/>
        <w:gridCol w:w="1335"/>
        <w:gridCol w:w="1575"/>
        <w:gridCol w:w="169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纳税单位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增值税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企业所得税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本期纳税额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上年度同期纳税额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增幅%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3" w:hRule="atLeast"/>
        </w:trPr>
        <w:tc>
          <w:tcPr>
            <w:tcW w:w="150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bidi="ar"/>
              </w:rPr>
              <w:t>备注：该表在9月14日前报清江浦区财政局税政科确认，认定后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24"/>
                <w:lang w:bidi="ar"/>
              </w:rPr>
              <w:t>于9月16日前取回加盖投标人公章装订在投标文件中。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认定税额：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认定增幅：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OGM3ZDRmNTQyMTRjMDA1MjAwYmY2YjUwMGRiYzIifQ=="/>
  </w:docVars>
  <w:rsids>
    <w:rsidRoot w:val="46072ADB"/>
    <w:rsid w:val="0A8F26C5"/>
    <w:rsid w:val="1A121C0E"/>
    <w:rsid w:val="35F70B0D"/>
    <w:rsid w:val="37AB0D3F"/>
    <w:rsid w:val="46072ADB"/>
    <w:rsid w:val="4CD70C15"/>
    <w:rsid w:val="60DE5D06"/>
    <w:rsid w:val="63757769"/>
    <w:rsid w:val="72C5755E"/>
    <w:rsid w:val="7E7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qFormat/>
    <w:uiPriority w:val="0"/>
    <w:rPr>
      <w:rFonts w:ascii="黑体" w:hAnsi="宋体" w:eastAsia="黑体" w:cs="黑体"/>
      <w:color w:val="000000"/>
      <w:sz w:val="32"/>
      <w:szCs w:val="32"/>
      <w:u w:val="single"/>
    </w:rPr>
  </w:style>
  <w:style w:type="character" w:customStyle="1" w:styleId="6">
    <w:name w:val="font31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2022-09-08T00:55:00Z</dcterms:created>
  <dc:creator>DELL</dc:creator>
  <cp:lastModifiedBy>DELL</cp:lastModifiedBy>
  <dcterms:modified xsi:type="dcterms:W3CDTF">2022-09-08T00:58:36Z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37A19978EFE34B79BA64AEBA01356E9E</vt:lpwstr>
  </property>
</Properties>
</file>