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4B1B" w:rsidRDefault="004616D1">
      <w:pPr>
        <w:spacing w:line="360" w:lineRule="auto"/>
        <w:rPr>
          <w:rFonts w:ascii="方正黑体_GBK" w:eastAsia="方正黑体_GBK" w:hAnsi="宋体"/>
          <w:sz w:val="24"/>
        </w:rPr>
      </w:pPr>
      <w:r>
        <w:rPr>
          <w:rFonts w:ascii="方正黑体_GBK" w:eastAsia="方正黑体_GBK" w:hAnsi="宋体" w:hint="eastAsia"/>
          <w:sz w:val="24"/>
        </w:rPr>
        <w:t>附件</w:t>
      </w:r>
    </w:p>
    <w:p w:rsidR="00214B1B" w:rsidRDefault="00214B1B">
      <w:pPr>
        <w:spacing w:line="360" w:lineRule="auto"/>
        <w:rPr>
          <w:rFonts w:ascii="仿宋_GB2312" w:eastAsia="仿宋_GB2312" w:hAnsi="宋体"/>
          <w:sz w:val="24"/>
        </w:rPr>
      </w:pPr>
    </w:p>
    <w:p w:rsidR="00214B1B" w:rsidRDefault="004616D1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sz w:val="36"/>
          <w:szCs w:val="36"/>
        </w:rPr>
      </w:pPr>
      <w:bookmarkStart w:id="0" w:name="_GoBack"/>
      <w:r>
        <w:rPr>
          <w:rFonts w:ascii="Times New Roman" w:eastAsia="宋体" w:hAnsi="Times New Roman" w:cs="Times New Roman" w:hint="eastAsia"/>
          <w:b/>
          <w:sz w:val="36"/>
          <w:szCs w:val="36"/>
        </w:rPr>
        <w:t>盐河街道仓储片区（</w:t>
      </w:r>
      <w:r>
        <w:rPr>
          <w:rFonts w:ascii="Times New Roman" w:eastAsia="宋体" w:hAnsi="Times New Roman" w:cs="Times New Roman" w:hint="eastAsia"/>
          <w:b/>
          <w:sz w:val="36"/>
          <w:szCs w:val="36"/>
        </w:rPr>
        <w:t>CP320812-2021-02-07</w:t>
      </w:r>
      <w:r>
        <w:rPr>
          <w:rFonts w:ascii="Times New Roman" w:eastAsia="宋体" w:hAnsi="Times New Roman" w:cs="Times New Roman" w:hint="eastAsia"/>
          <w:b/>
          <w:sz w:val="36"/>
          <w:szCs w:val="36"/>
        </w:rPr>
        <w:t>）土地征收成片开发调整方案</w:t>
      </w:r>
      <w:r>
        <w:rPr>
          <w:rFonts w:ascii="Times New Roman" w:eastAsia="宋体" w:hAnsi="Times New Roman" w:cs="Times New Roman"/>
          <w:b/>
          <w:sz w:val="36"/>
          <w:szCs w:val="36"/>
        </w:rPr>
        <w:t>主要内容</w:t>
      </w:r>
      <w:bookmarkEnd w:id="0"/>
    </w:p>
    <w:p w:rsidR="00214B1B" w:rsidRDefault="004616D1">
      <w:pPr>
        <w:spacing w:line="360" w:lineRule="auto"/>
        <w:ind w:firstLine="420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按照《中华人民共和国土地管理法》第四十五条第一款第（五）项规定和</w:t>
      </w:r>
      <w:r>
        <w:rPr>
          <w:rFonts w:ascii="Times New Roman" w:eastAsia="宋体" w:hAnsi="Times New Roman" w:cs="Times New Roman" w:hint="eastAsia"/>
          <w:sz w:val="24"/>
        </w:rPr>
        <w:t>《自然资源部</w:t>
      </w:r>
      <w:r>
        <w:rPr>
          <w:rFonts w:ascii="Times New Roman" w:eastAsia="宋体" w:hAnsi="Times New Roman" w:cs="Times New Roman" w:hint="eastAsia"/>
          <w:sz w:val="24"/>
        </w:rPr>
        <w:t>关于</w:t>
      </w:r>
      <w:r>
        <w:rPr>
          <w:rFonts w:ascii="Times New Roman" w:eastAsia="宋体" w:hAnsi="Times New Roman" w:cs="Times New Roman"/>
          <w:sz w:val="24"/>
        </w:rPr>
        <w:t>印发</w:t>
      </w:r>
      <w:r>
        <w:rPr>
          <w:rFonts w:ascii="Times New Roman" w:eastAsia="宋体" w:hAnsi="Times New Roman" w:cs="Times New Roman" w:hint="eastAsia"/>
          <w:sz w:val="24"/>
        </w:rPr>
        <w:t>&lt;</w:t>
      </w:r>
      <w:r>
        <w:rPr>
          <w:rFonts w:ascii="Times New Roman" w:eastAsia="宋体" w:hAnsi="Times New Roman" w:cs="Times New Roman"/>
          <w:sz w:val="24"/>
        </w:rPr>
        <w:t>土地征收成片开发标准</w:t>
      </w:r>
      <w:r>
        <w:rPr>
          <w:rFonts w:ascii="Times New Roman" w:eastAsia="宋体" w:hAnsi="Times New Roman" w:cs="Times New Roman" w:hint="eastAsia"/>
          <w:sz w:val="24"/>
        </w:rPr>
        <w:t>&gt;</w:t>
      </w:r>
      <w:r>
        <w:rPr>
          <w:rFonts w:ascii="Times New Roman" w:eastAsia="宋体" w:hAnsi="Times New Roman" w:cs="Times New Roman" w:hint="eastAsia"/>
          <w:sz w:val="24"/>
        </w:rPr>
        <w:t>的</w:t>
      </w:r>
      <w:r>
        <w:rPr>
          <w:rFonts w:ascii="Times New Roman" w:eastAsia="宋体" w:hAnsi="Times New Roman" w:cs="Times New Roman" w:hint="eastAsia"/>
          <w:sz w:val="24"/>
        </w:rPr>
        <w:t>通知</w:t>
      </w:r>
      <w:r>
        <w:rPr>
          <w:rFonts w:ascii="Times New Roman" w:eastAsia="宋体" w:hAnsi="Times New Roman" w:cs="Times New Roman" w:hint="eastAsia"/>
          <w:sz w:val="24"/>
        </w:rPr>
        <w:t>》</w:t>
      </w:r>
      <w:r>
        <w:rPr>
          <w:rFonts w:ascii="Times New Roman" w:eastAsia="宋体" w:hAnsi="Times New Roman" w:cs="Times New Roman"/>
          <w:sz w:val="24"/>
        </w:rPr>
        <w:t>（自然资</w:t>
      </w:r>
      <w:r>
        <w:rPr>
          <w:rFonts w:ascii="Times New Roman" w:eastAsia="宋体" w:hAnsi="Times New Roman" w:cs="Times New Roman" w:hint="eastAsia"/>
          <w:sz w:val="24"/>
        </w:rPr>
        <w:t>规</w:t>
      </w:r>
      <w:r>
        <w:rPr>
          <w:rFonts w:ascii="Times New Roman" w:eastAsia="宋体" w:hAnsi="Times New Roman" w:cs="Times New Roman"/>
          <w:sz w:val="24"/>
        </w:rPr>
        <w:t>[202</w:t>
      </w:r>
      <w:r>
        <w:rPr>
          <w:rFonts w:ascii="Times New Roman" w:eastAsia="宋体" w:hAnsi="Times New Roman" w:cs="Times New Roman" w:hint="eastAsia"/>
          <w:sz w:val="24"/>
        </w:rPr>
        <w:t>3</w:t>
      </w:r>
      <w:r>
        <w:rPr>
          <w:rFonts w:ascii="Times New Roman" w:eastAsia="宋体" w:hAnsi="Times New Roman" w:cs="Times New Roman"/>
          <w:sz w:val="24"/>
        </w:rPr>
        <w:t>]</w:t>
      </w:r>
      <w:r>
        <w:rPr>
          <w:rFonts w:ascii="Times New Roman" w:eastAsia="宋体" w:hAnsi="Times New Roman" w:cs="Times New Roman" w:hint="eastAsia"/>
          <w:sz w:val="24"/>
        </w:rPr>
        <w:t>7</w:t>
      </w:r>
      <w:r>
        <w:rPr>
          <w:rFonts w:ascii="Times New Roman" w:eastAsia="宋体" w:hAnsi="Times New Roman" w:cs="Times New Roman"/>
          <w:sz w:val="24"/>
        </w:rPr>
        <w:t>号</w:t>
      </w:r>
      <w:r>
        <w:rPr>
          <w:rFonts w:ascii="Times New Roman" w:eastAsia="宋体" w:hAnsi="Times New Roman" w:cs="Times New Roman"/>
          <w:sz w:val="24"/>
        </w:rPr>
        <w:t>）、《江苏省自然资源厅关于开展土地征收成片开发方案编制工作的通知》（苏自然资函〔</w:t>
      </w:r>
      <w:r>
        <w:rPr>
          <w:rFonts w:ascii="Times New Roman" w:eastAsia="宋体" w:hAnsi="Times New Roman" w:cs="Times New Roman"/>
          <w:sz w:val="24"/>
        </w:rPr>
        <w:t>2021</w:t>
      </w:r>
      <w:r>
        <w:rPr>
          <w:rFonts w:ascii="Times New Roman" w:eastAsia="宋体" w:hAnsi="Times New Roman" w:cs="Times New Roman"/>
          <w:sz w:val="24"/>
        </w:rPr>
        <w:t>〕</w:t>
      </w:r>
      <w:r>
        <w:rPr>
          <w:rFonts w:ascii="Times New Roman" w:eastAsia="宋体" w:hAnsi="Times New Roman" w:cs="Times New Roman"/>
          <w:sz w:val="24"/>
        </w:rPr>
        <w:t>15</w:t>
      </w:r>
      <w:r>
        <w:rPr>
          <w:rFonts w:ascii="Times New Roman" w:eastAsia="宋体" w:hAnsi="Times New Roman" w:cs="Times New Roman"/>
          <w:sz w:val="24"/>
        </w:rPr>
        <w:t>号）等文件要求，我</w:t>
      </w:r>
      <w:r>
        <w:rPr>
          <w:rFonts w:ascii="Times New Roman" w:eastAsia="宋体" w:hAnsi="Times New Roman" w:cs="Times New Roman" w:hint="eastAsia"/>
          <w:sz w:val="24"/>
        </w:rPr>
        <w:t>区</w:t>
      </w:r>
      <w:r>
        <w:rPr>
          <w:rFonts w:ascii="Times New Roman" w:eastAsia="宋体" w:hAnsi="Times New Roman" w:cs="Times New Roman"/>
          <w:sz w:val="24"/>
        </w:rPr>
        <w:t>组织编制了《</w:t>
      </w:r>
      <w:r>
        <w:rPr>
          <w:rFonts w:ascii="Times New Roman" w:eastAsia="宋体" w:hAnsi="Times New Roman" w:cs="Times New Roman" w:hint="eastAsia"/>
          <w:sz w:val="24"/>
        </w:rPr>
        <w:t>盐河街道仓储片区（</w:t>
      </w:r>
      <w:r>
        <w:rPr>
          <w:rFonts w:ascii="Times New Roman" w:eastAsia="宋体" w:hAnsi="Times New Roman" w:cs="Times New Roman" w:hint="eastAsia"/>
          <w:sz w:val="24"/>
        </w:rPr>
        <w:t>CP320812-2021-02-07</w:t>
      </w:r>
      <w:r>
        <w:rPr>
          <w:rFonts w:ascii="Times New Roman" w:eastAsia="宋体" w:hAnsi="Times New Roman" w:cs="Times New Roman" w:hint="eastAsia"/>
          <w:sz w:val="24"/>
        </w:rPr>
        <w:t>）土地征收成片开发调整方案</w:t>
      </w:r>
      <w:r>
        <w:rPr>
          <w:rFonts w:ascii="Times New Roman" w:eastAsia="宋体" w:hAnsi="Times New Roman" w:cs="Times New Roman"/>
          <w:sz w:val="24"/>
        </w:rPr>
        <w:t>》，基本情况如下：</w:t>
      </w:r>
    </w:p>
    <w:p w:rsidR="00214B1B" w:rsidRDefault="004616D1">
      <w:pPr>
        <w:spacing w:line="360" w:lineRule="auto"/>
        <w:ind w:firstLine="420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一、</w:t>
      </w:r>
      <w:r>
        <w:rPr>
          <w:rFonts w:ascii="Times New Roman" w:eastAsia="宋体" w:hAnsi="Times New Roman" w:cs="Times New Roman"/>
          <w:sz w:val="24"/>
        </w:rPr>
        <w:t>片区基本情况</w:t>
      </w:r>
    </w:p>
    <w:p w:rsidR="00214B1B" w:rsidRDefault="004616D1">
      <w:pPr>
        <w:spacing w:line="360" w:lineRule="auto"/>
        <w:ind w:firstLine="420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 w:hint="eastAsia"/>
          <w:sz w:val="24"/>
        </w:rPr>
        <w:t>盐河街道仓储片区（</w:t>
      </w:r>
      <w:r>
        <w:rPr>
          <w:rFonts w:ascii="Times New Roman" w:eastAsia="宋体" w:hAnsi="Times New Roman" w:cs="Times New Roman" w:hint="eastAsia"/>
          <w:sz w:val="24"/>
        </w:rPr>
        <w:t>CP320812-2021-02-07</w:t>
      </w:r>
      <w:r>
        <w:rPr>
          <w:rFonts w:ascii="Times New Roman" w:eastAsia="宋体" w:hAnsi="Times New Roman" w:cs="Times New Roman" w:hint="eastAsia"/>
          <w:sz w:val="24"/>
        </w:rPr>
        <w:t>）</w:t>
      </w:r>
      <w:r>
        <w:rPr>
          <w:rFonts w:ascii="Times New Roman" w:eastAsia="宋体" w:hAnsi="Times New Roman" w:cs="Times New Roman" w:hint="eastAsia"/>
          <w:sz w:val="24"/>
        </w:rPr>
        <w:t>已于</w:t>
      </w:r>
      <w:r>
        <w:rPr>
          <w:rFonts w:ascii="Times New Roman" w:eastAsia="宋体" w:hAnsi="Times New Roman" w:cs="Times New Roman" w:hint="eastAsia"/>
          <w:sz w:val="24"/>
        </w:rPr>
        <w:t>2022</w:t>
      </w:r>
      <w:r>
        <w:rPr>
          <w:rFonts w:ascii="Times New Roman" w:eastAsia="宋体" w:hAnsi="Times New Roman" w:cs="Times New Roman" w:hint="eastAsia"/>
          <w:sz w:val="24"/>
        </w:rPr>
        <w:t>年</w:t>
      </w:r>
      <w:r>
        <w:rPr>
          <w:rFonts w:ascii="Times New Roman" w:eastAsia="宋体" w:hAnsi="Times New Roman" w:cs="Times New Roman" w:hint="eastAsia"/>
          <w:sz w:val="24"/>
        </w:rPr>
        <w:t>1</w:t>
      </w:r>
      <w:r>
        <w:rPr>
          <w:rFonts w:ascii="Times New Roman" w:eastAsia="宋体" w:hAnsi="Times New Roman" w:cs="Times New Roman" w:hint="eastAsia"/>
          <w:sz w:val="24"/>
        </w:rPr>
        <w:t>月获得江苏省自然资源厅批复，批复</w:t>
      </w:r>
      <w:r>
        <w:rPr>
          <w:rFonts w:ascii="Times New Roman" w:eastAsia="宋体" w:hAnsi="Times New Roman" w:cs="Times New Roman"/>
          <w:sz w:val="24"/>
        </w:rPr>
        <w:t>片区总面积</w:t>
      </w:r>
      <w:r>
        <w:rPr>
          <w:rFonts w:ascii="Times New Roman" w:eastAsia="宋体" w:hAnsi="Times New Roman" w:cs="Times New Roman"/>
          <w:sz w:val="24"/>
        </w:rPr>
        <w:t>40.7331</w:t>
      </w:r>
      <w:r>
        <w:rPr>
          <w:rFonts w:ascii="Times New Roman" w:eastAsia="宋体" w:hAnsi="Times New Roman" w:cs="Times New Roman"/>
          <w:sz w:val="24"/>
        </w:rPr>
        <w:t>公顷，其中公益性用地面积</w:t>
      </w:r>
      <w:r>
        <w:rPr>
          <w:rFonts w:ascii="Times New Roman" w:eastAsia="宋体" w:hAnsi="Times New Roman" w:cs="Times New Roman"/>
          <w:sz w:val="24"/>
        </w:rPr>
        <w:t>20.0175</w:t>
      </w:r>
      <w:r>
        <w:rPr>
          <w:rFonts w:ascii="Times New Roman" w:eastAsia="宋体" w:hAnsi="Times New Roman" w:cs="Times New Roman"/>
          <w:sz w:val="24"/>
        </w:rPr>
        <w:t>公顷，占比</w:t>
      </w:r>
      <w:r>
        <w:rPr>
          <w:rFonts w:ascii="Times New Roman" w:eastAsia="宋体" w:hAnsi="Times New Roman" w:cs="Times New Roman"/>
          <w:sz w:val="24"/>
        </w:rPr>
        <w:t>49.14%</w:t>
      </w:r>
      <w:r>
        <w:rPr>
          <w:rFonts w:ascii="Times New Roman" w:eastAsia="宋体" w:hAnsi="Times New Roman" w:cs="Times New Roman"/>
          <w:sz w:val="24"/>
        </w:rPr>
        <w:t>。</w:t>
      </w:r>
    </w:p>
    <w:p w:rsidR="00214B1B" w:rsidRDefault="004616D1">
      <w:pPr>
        <w:spacing w:line="360" w:lineRule="auto"/>
        <w:ind w:firstLine="420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 w:hint="eastAsia"/>
          <w:sz w:val="24"/>
        </w:rPr>
        <w:t>根据部、省相关文件，</w:t>
      </w:r>
      <w:r>
        <w:rPr>
          <w:rFonts w:ascii="Times New Roman" w:eastAsia="宋体" w:hAnsi="Times New Roman" w:cs="Times New Roman" w:hint="eastAsia"/>
          <w:sz w:val="24"/>
        </w:rPr>
        <w:t>成片开发方案批准实施后，因国民经济和社会发展规划计划、国土空间规划、产业发展规划、详细规划等发生重大调整变化，或者区域经济社会发展对片区功能定位发生重大变化，确需调整已批准土地征收成片开发方案的</w:t>
      </w:r>
      <w:r>
        <w:rPr>
          <w:rFonts w:ascii="Times New Roman" w:eastAsia="宋体" w:hAnsi="Times New Roman" w:cs="Times New Roman"/>
          <w:sz w:val="24"/>
        </w:rPr>
        <w:t>，</w:t>
      </w:r>
      <w:r>
        <w:rPr>
          <w:rFonts w:ascii="Times New Roman" w:eastAsia="宋体" w:hAnsi="Times New Roman" w:cs="Times New Roman" w:hint="eastAsia"/>
          <w:sz w:val="24"/>
        </w:rPr>
        <w:t>应依法</w:t>
      </w:r>
      <w:r>
        <w:rPr>
          <w:rFonts w:ascii="Times New Roman" w:eastAsia="宋体" w:hAnsi="Times New Roman" w:cs="Times New Roman"/>
          <w:sz w:val="24"/>
        </w:rPr>
        <w:t>依规</w:t>
      </w:r>
      <w:r>
        <w:rPr>
          <w:rFonts w:ascii="Times New Roman" w:eastAsia="宋体" w:hAnsi="Times New Roman" w:cs="Times New Roman" w:hint="eastAsia"/>
          <w:sz w:val="24"/>
        </w:rPr>
        <w:t>、稳妥有序</w:t>
      </w:r>
      <w:r>
        <w:rPr>
          <w:rFonts w:ascii="Times New Roman" w:eastAsia="宋体" w:hAnsi="Times New Roman" w:cs="Times New Roman"/>
          <w:sz w:val="24"/>
        </w:rPr>
        <w:t>开展</w:t>
      </w:r>
      <w:r>
        <w:rPr>
          <w:rFonts w:ascii="Times New Roman" w:eastAsia="宋体" w:hAnsi="Times New Roman" w:cs="Times New Roman" w:hint="eastAsia"/>
          <w:sz w:val="24"/>
        </w:rPr>
        <w:t>方案</w:t>
      </w:r>
      <w:r>
        <w:rPr>
          <w:rFonts w:ascii="Times New Roman" w:eastAsia="宋体" w:hAnsi="Times New Roman" w:cs="Times New Roman"/>
          <w:sz w:val="24"/>
        </w:rPr>
        <w:t>调整工作</w:t>
      </w:r>
      <w:r>
        <w:rPr>
          <w:rFonts w:ascii="Times New Roman" w:eastAsia="宋体" w:hAnsi="Times New Roman" w:cs="Times New Roman" w:hint="eastAsia"/>
          <w:sz w:val="24"/>
        </w:rPr>
        <w:t>。</w:t>
      </w:r>
    </w:p>
    <w:p w:rsidR="00214B1B" w:rsidRDefault="004616D1">
      <w:pPr>
        <w:pStyle w:val="a0"/>
        <w:spacing w:line="360" w:lineRule="auto"/>
      </w:pPr>
      <w:r>
        <w:rPr>
          <w:rFonts w:ascii="Times New Roman" w:eastAsia="宋体" w:hAnsi="Times New Roman" w:cs="Times New Roman" w:hint="eastAsia"/>
          <w:sz w:val="24"/>
        </w:rPr>
        <w:t>因详细规划发生调整，片区范围和片区内土地用途需要进行调整，</w:t>
      </w:r>
      <w:r>
        <w:rPr>
          <w:rFonts w:ascii="Times New Roman" w:eastAsia="宋体" w:hAnsi="Times New Roman" w:cs="Times New Roman" w:hint="eastAsia"/>
          <w:sz w:val="24"/>
        </w:rPr>
        <w:t>我</w:t>
      </w:r>
      <w:r>
        <w:rPr>
          <w:rFonts w:ascii="Times New Roman" w:eastAsia="宋体" w:hAnsi="Times New Roman" w:cs="Times New Roman" w:hint="eastAsia"/>
          <w:sz w:val="24"/>
        </w:rPr>
        <w:t>区已组织编制了</w:t>
      </w:r>
      <w:r>
        <w:rPr>
          <w:rFonts w:ascii="Times New Roman" w:eastAsia="宋体" w:hAnsi="Times New Roman" w:cs="Times New Roman"/>
          <w:sz w:val="24"/>
        </w:rPr>
        <w:t>《</w:t>
      </w:r>
      <w:r>
        <w:rPr>
          <w:rFonts w:ascii="Times New Roman" w:eastAsia="宋体" w:hAnsi="Times New Roman" w:cs="Times New Roman" w:hint="eastAsia"/>
          <w:sz w:val="24"/>
        </w:rPr>
        <w:t>盐河街道仓储片区（</w:t>
      </w:r>
      <w:r>
        <w:rPr>
          <w:rFonts w:ascii="Times New Roman" w:eastAsia="宋体" w:hAnsi="Times New Roman" w:cs="Times New Roman" w:hint="eastAsia"/>
          <w:sz w:val="24"/>
        </w:rPr>
        <w:t>CP320812-2021-02-07</w:t>
      </w:r>
      <w:r>
        <w:rPr>
          <w:rFonts w:ascii="Times New Roman" w:eastAsia="宋体" w:hAnsi="Times New Roman" w:cs="Times New Roman" w:hint="eastAsia"/>
          <w:sz w:val="24"/>
        </w:rPr>
        <w:t>）土地征收成片开发调整方案</w:t>
      </w:r>
      <w:r>
        <w:rPr>
          <w:rFonts w:ascii="Times New Roman" w:eastAsia="宋体" w:hAnsi="Times New Roman" w:cs="Times New Roman"/>
          <w:sz w:val="24"/>
        </w:rPr>
        <w:t>》</w:t>
      </w:r>
      <w:r>
        <w:rPr>
          <w:rFonts w:ascii="Times New Roman" w:eastAsia="宋体" w:hAnsi="Times New Roman" w:cs="Times New Roman" w:hint="eastAsia"/>
          <w:sz w:val="24"/>
        </w:rPr>
        <w:t>，</w:t>
      </w:r>
      <w:r>
        <w:rPr>
          <w:rFonts w:ascii="Times New Roman" w:eastAsia="宋体" w:hAnsi="Times New Roman" w:cs="Times New Roman" w:hint="eastAsia"/>
          <w:sz w:val="24"/>
        </w:rPr>
        <w:t>调整后片区总面积</w:t>
      </w:r>
      <w:r>
        <w:rPr>
          <w:rFonts w:ascii="Times New Roman" w:eastAsia="宋体" w:hAnsi="Times New Roman" w:cs="Times New Roman" w:hint="eastAsia"/>
          <w:sz w:val="24"/>
        </w:rPr>
        <w:t>61.8855</w:t>
      </w:r>
      <w:r>
        <w:rPr>
          <w:rFonts w:ascii="Times New Roman" w:eastAsia="宋体" w:hAnsi="Times New Roman" w:cs="Times New Roman" w:hint="eastAsia"/>
          <w:sz w:val="24"/>
        </w:rPr>
        <w:t>公顷。</w:t>
      </w:r>
    </w:p>
    <w:p w:rsidR="00214B1B" w:rsidRDefault="004616D1">
      <w:pPr>
        <w:pStyle w:val="a0"/>
        <w:spacing w:line="36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二、成片开发的必要性</w:t>
      </w:r>
    </w:p>
    <w:p w:rsidR="00214B1B" w:rsidRDefault="004616D1">
      <w:pPr>
        <w:pStyle w:val="a0"/>
        <w:spacing w:line="36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☑</w:t>
      </w:r>
      <w:r>
        <w:rPr>
          <w:rFonts w:ascii="Times New Roman" w:eastAsia="宋体" w:hAnsi="Times New Roman" w:cs="Times New Roman"/>
          <w:sz w:val="24"/>
        </w:rPr>
        <w:t>落实国土空间规划的需要</w:t>
      </w:r>
    </w:p>
    <w:p w:rsidR="00214B1B" w:rsidRDefault="004616D1">
      <w:pPr>
        <w:pStyle w:val="a0"/>
        <w:spacing w:line="36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☑</w:t>
      </w:r>
      <w:r>
        <w:rPr>
          <w:rFonts w:ascii="Times New Roman" w:eastAsia="宋体" w:hAnsi="Times New Roman" w:cs="Times New Roman"/>
          <w:sz w:val="24"/>
        </w:rPr>
        <w:t>落实</w:t>
      </w:r>
      <w:r>
        <w:rPr>
          <w:rFonts w:ascii="Times New Roman" w:eastAsia="宋体" w:hAnsi="Times New Roman" w:cs="Times New Roman" w:hint="eastAsia"/>
          <w:sz w:val="24"/>
        </w:rPr>
        <w:t>详细规划的</w:t>
      </w:r>
      <w:r>
        <w:rPr>
          <w:rFonts w:ascii="Times New Roman" w:eastAsia="宋体" w:hAnsi="Times New Roman" w:cs="Times New Roman"/>
          <w:sz w:val="24"/>
        </w:rPr>
        <w:t>需要</w:t>
      </w:r>
    </w:p>
    <w:p w:rsidR="00214B1B" w:rsidRDefault="004616D1">
      <w:pPr>
        <w:pStyle w:val="a0"/>
        <w:spacing w:line="36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☑</w:t>
      </w:r>
      <w:r>
        <w:rPr>
          <w:rFonts w:ascii="Times New Roman" w:eastAsia="宋体" w:hAnsi="Times New Roman" w:cs="Times New Roman"/>
          <w:sz w:val="24"/>
        </w:rPr>
        <w:t>落实城镇建设发展的需要</w:t>
      </w:r>
    </w:p>
    <w:p w:rsidR="00214B1B" w:rsidRDefault="004616D1">
      <w:pPr>
        <w:pStyle w:val="a0"/>
        <w:spacing w:line="36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三、公益性用地比例</w:t>
      </w:r>
    </w:p>
    <w:p w:rsidR="00214B1B" w:rsidRDefault="004616D1">
      <w:pPr>
        <w:pStyle w:val="a0"/>
        <w:spacing w:line="36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 w:hint="eastAsia"/>
          <w:sz w:val="24"/>
        </w:rPr>
        <w:t>片区内</w:t>
      </w:r>
      <w:r>
        <w:rPr>
          <w:rFonts w:ascii="Times New Roman" w:eastAsia="宋体" w:hAnsi="Times New Roman" w:cs="Times New Roman"/>
          <w:sz w:val="24"/>
        </w:rPr>
        <w:t>基础设施、公共服务设施以及其他公益性用地比例达到《江苏省自然资源厅关于开展土地征收成片开发方案编制工作的通知》（苏自然资函〔</w:t>
      </w:r>
      <w:r>
        <w:rPr>
          <w:rFonts w:ascii="Times New Roman" w:eastAsia="宋体" w:hAnsi="Times New Roman" w:cs="Times New Roman"/>
          <w:sz w:val="24"/>
        </w:rPr>
        <w:t>2021</w:t>
      </w:r>
      <w:r>
        <w:rPr>
          <w:rFonts w:ascii="Times New Roman" w:eastAsia="宋体" w:hAnsi="Times New Roman" w:cs="Times New Roman"/>
          <w:sz w:val="24"/>
        </w:rPr>
        <w:t>〕</w:t>
      </w:r>
      <w:r>
        <w:rPr>
          <w:rFonts w:ascii="Times New Roman" w:eastAsia="宋体" w:hAnsi="Times New Roman" w:cs="Times New Roman"/>
          <w:sz w:val="24"/>
        </w:rPr>
        <w:t>15</w:t>
      </w:r>
      <w:r>
        <w:rPr>
          <w:rFonts w:ascii="Times New Roman" w:eastAsia="宋体" w:hAnsi="Times New Roman" w:cs="Times New Roman"/>
          <w:sz w:val="24"/>
        </w:rPr>
        <w:t>号）与《江苏省自然资源厅关于加快推进土地征收成片开发方案编制工作的</w:t>
      </w:r>
      <w:r>
        <w:rPr>
          <w:rFonts w:ascii="Times New Roman" w:eastAsia="宋体" w:hAnsi="Times New Roman" w:cs="Times New Roman"/>
          <w:sz w:val="24"/>
        </w:rPr>
        <w:lastRenderedPageBreak/>
        <w:t>通知》（苏自然资发〔</w:t>
      </w:r>
      <w:r>
        <w:rPr>
          <w:rFonts w:ascii="Times New Roman" w:eastAsia="宋体" w:hAnsi="Times New Roman" w:cs="Times New Roman"/>
          <w:sz w:val="24"/>
        </w:rPr>
        <w:t>2021</w:t>
      </w:r>
      <w:r>
        <w:rPr>
          <w:rFonts w:ascii="Times New Roman" w:eastAsia="宋体" w:hAnsi="Times New Roman" w:cs="Times New Roman"/>
          <w:sz w:val="24"/>
        </w:rPr>
        <w:t>〕</w:t>
      </w:r>
      <w:r>
        <w:rPr>
          <w:rFonts w:ascii="Times New Roman" w:eastAsia="宋体" w:hAnsi="Times New Roman" w:cs="Times New Roman"/>
          <w:sz w:val="24"/>
        </w:rPr>
        <w:t>138</w:t>
      </w:r>
      <w:r>
        <w:rPr>
          <w:rFonts w:ascii="Times New Roman" w:eastAsia="宋体" w:hAnsi="Times New Roman" w:cs="Times New Roman"/>
          <w:sz w:val="24"/>
        </w:rPr>
        <w:t>号）规定的</w:t>
      </w:r>
      <w:r>
        <w:rPr>
          <w:rFonts w:ascii="Times New Roman" w:eastAsia="宋体" w:hAnsi="Times New Roman" w:cs="Times New Roman"/>
          <w:sz w:val="24"/>
        </w:rPr>
        <w:t>要求，不存在第四条不予批准的情形。</w:t>
      </w:r>
    </w:p>
    <w:p w:rsidR="00214B1B" w:rsidRDefault="004616D1">
      <w:pPr>
        <w:pStyle w:val="a0"/>
        <w:spacing w:line="36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 w:hint="eastAsia"/>
          <w:sz w:val="24"/>
        </w:rPr>
        <w:t>四、</w:t>
      </w:r>
      <w:r>
        <w:rPr>
          <w:rFonts w:ascii="Times New Roman" w:eastAsia="宋体" w:hAnsi="Times New Roman" w:cs="Times New Roman"/>
          <w:sz w:val="24"/>
        </w:rPr>
        <w:t>成片开发方案</w:t>
      </w:r>
      <w:r>
        <w:rPr>
          <w:rFonts w:ascii="Times New Roman" w:eastAsia="宋体" w:hAnsi="Times New Roman" w:cs="Times New Roman" w:hint="eastAsia"/>
          <w:sz w:val="24"/>
        </w:rPr>
        <w:t>调整前后</w:t>
      </w:r>
      <w:r>
        <w:rPr>
          <w:rFonts w:ascii="Times New Roman" w:eastAsia="宋体" w:hAnsi="Times New Roman" w:cs="Times New Roman"/>
          <w:sz w:val="24"/>
        </w:rPr>
        <w:t>图件</w:t>
      </w:r>
    </w:p>
    <w:p w:rsidR="00214B1B" w:rsidRDefault="004616D1">
      <w:pPr>
        <w:pStyle w:val="a0"/>
        <w:spacing w:line="360" w:lineRule="auto"/>
        <w:ind w:firstLine="0"/>
        <w:rPr>
          <w:rFonts w:ascii="仿宋_GB2312" w:eastAsia="仿宋_GB2312" w:hAnsi="宋体"/>
          <w:sz w:val="28"/>
        </w:rPr>
      </w:pPr>
      <w:r>
        <w:rPr>
          <w:rFonts w:ascii="仿宋_GB2312" w:eastAsia="仿宋_GB2312" w:hAnsi="宋体" w:hint="eastAsia"/>
          <w:noProof/>
          <w:sz w:val="28"/>
        </w:rPr>
        <w:drawing>
          <wp:inline distT="0" distB="0" distL="114300" distR="114300">
            <wp:extent cx="5263515" cy="3721735"/>
            <wp:effectExtent l="0" t="0" r="9525" b="12065"/>
            <wp:docPr id="2" name="图片 2" descr="1.CP320812-2021-02-07片区范围示意图（调整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.CP320812-2021-02-07片区范围示意图（调整前）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宋体" w:hint="eastAsia"/>
          <w:noProof/>
          <w:sz w:val="28"/>
        </w:rPr>
        <w:drawing>
          <wp:inline distT="0" distB="0" distL="114300" distR="114300">
            <wp:extent cx="5263515" cy="3721735"/>
            <wp:effectExtent l="0" t="0" r="9525" b="12065"/>
            <wp:docPr id="3" name="图片 3" descr="1.CP320812-2021-02-07片区范围示意图（调整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.CP320812-2021-02-07片区范围示意图（调整后）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4B1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16D1" w:rsidRDefault="004616D1" w:rsidP="001606FF">
      <w:r>
        <w:separator/>
      </w:r>
    </w:p>
  </w:endnote>
  <w:endnote w:type="continuationSeparator" w:id="0">
    <w:p w:rsidR="004616D1" w:rsidRDefault="004616D1" w:rsidP="001606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等线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等线 Light">
    <w:altName w:val="Arial Unicode MS"/>
    <w:panose1 w:val="00000000000000000000"/>
    <w:charset w:val="86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16D1" w:rsidRDefault="004616D1" w:rsidP="001606FF">
      <w:r>
        <w:separator/>
      </w:r>
    </w:p>
  </w:footnote>
  <w:footnote w:type="continuationSeparator" w:id="0">
    <w:p w:rsidR="004616D1" w:rsidRDefault="004616D1" w:rsidP="001606F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QxODU3MzViNjgwMjg5OTI3MDAyZmUxNjVhYTRmYjAifQ=="/>
  </w:docVars>
  <w:rsids>
    <w:rsidRoot w:val="003555C3"/>
    <w:rsid w:val="000730E6"/>
    <w:rsid w:val="00082DD7"/>
    <w:rsid w:val="001005E7"/>
    <w:rsid w:val="00101109"/>
    <w:rsid w:val="00102D43"/>
    <w:rsid w:val="00135834"/>
    <w:rsid w:val="00135D98"/>
    <w:rsid w:val="0016057B"/>
    <w:rsid w:val="001606FF"/>
    <w:rsid w:val="001C4A47"/>
    <w:rsid w:val="0020124A"/>
    <w:rsid w:val="002044AF"/>
    <w:rsid w:val="00214B1B"/>
    <w:rsid w:val="00225546"/>
    <w:rsid w:val="00270E42"/>
    <w:rsid w:val="00274455"/>
    <w:rsid w:val="002D2F61"/>
    <w:rsid w:val="00307CE8"/>
    <w:rsid w:val="00340633"/>
    <w:rsid w:val="00345971"/>
    <w:rsid w:val="003555C3"/>
    <w:rsid w:val="00356C53"/>
    <w:rsid w:val="0037552E"/>
    <w:rsid w:val="003B3048"/>
    <w:rsid w:val="004051DE"/>
    <w:rsid w:val="00415572"/>
    <w:rsid w:val="0041703D"/>
    <w:rsid w:val="00434805"/>
    <w:rsid w:val="00457C2D"/>
    <w:rsid w:val="004616D1"/>
    <w:rsid w:val="004B2DC6"/>
    <w:rsid w:val="004C1689"/>
    <w:rsid w:val="004D2515"/>
    <w:rsid w:val="004F37EC"/>
    <w:rsid w:val="00547911"/>
    <w:rsid w:val="005B3B82"/>
    <w:rsid w:val="005E129C"/>
    <w:rsid w:val="0061063E"/>
    <w:rsid w:val="00642A20"/>
    <w:rsid w:val="00662440"/>
    <w:rsid w:val="006A0923"/>
    <w:rsid w:val="006C249A"/>
    <w:rsid w:val="006E0789"/>
    <w:rsid w:val="006F4042"/>
    <w:rsid w:val="007033FC"/>
    <w:rsid w:val="00766737"/>
    <w:rsid w:val="007952C8"/>
    <w:rsid w:val="007D2921"/>
    <w:rsid w:val="00817CBA"/>
    <w:rsid w:val="00820EDA"/>
    <w:rsid w:val="0084677B"/>
    <w:rsid w:val="00865914"/>
    <w:rsid w:val="00880DB1"/>
    <w:rsid w:val="008906F6"/>
    <w:rsid w:val="008A1E27"/>
    <w:rsid w:val="008F6B5E"/>
    <w:rsid w:val="00933477"/>
    <w:rsid w:val="00956966"/>
    <w:rsid w:val="009A07CF"/>
    <w:rsid w:val="009D4296"/>
    <w:rsid w:val="00A3413D"/>
    <w:rsid w:val="00A8001E"/>
    <w:rsid w:val="00A952AB"/>
    <w:rsid w:val="00AA5C0F"/>
    <w:rsid w:val="00AD0683"/>
    <w:rsid w:val="00B200FC"/>
    <w:rsid w:val="00B2574B"/>
    <w:rsid w:val="00BD1B96"/>
    <w:rsid w:val="00C11A3F"/>
    <w:rsid w:val="00C41F03"/>
    <w:rsid w:val="00C513FB"/>
    <w:rsid w:val="00C514A0"/>
    <w:rsid w:val="00C77591"/>
    <w:rsid w:val="00CB3BBE"/>
    <w:rsid w:val="00CE33DD"/>
    <w:rsid w:val="00CE6C69"/>
    <w:rsid w:val="00D10A0A"/>
    <w:rsid w:val="00D30789"/>
    <w:rsid w:val="00D84557"/>
    <w:rsid w:val="00D96F87"/>
    <w:rsid w:val="00DB025A"/>
    <w:rsid w:val="00DB6A56"/>
    <w:rsid w:val="00DE1058"/>
    <w:rsid w:val="00DE1F70"/>
    <w:rsid w:val="00E13D2B"/>
    <w:rsid w:val="00E16DC6"/>
    <w:rsid w:val="00E2522F"/>
    <w:rsid w:val="00E33463"/>
    <w:rsid w:val="00ED4505"/>
    <w:rsid w:val="00F06B4F"/>
    <w:rsid w:val="00F418B6"/>
    <w:rsid w:val="00F658AB"/>
    <w:rsid w:val="00F77CE8"/>
    <w:rsid w:val="00F823F7"/>
    <w:rsid w:val="00FB3C58"/>
    <w:rsid w:val="00FB46C2"/>
    <w:rsid w:val="083B3AC0"/>
    <w:rsid w:val="08CE6992"/>
    <w:rsid w:val="0C0B6BE2"/>
    <w:rsid w:val="139F572A"/>
    <w:rsid w:val="13AF38DA"/>
    <w:rsid w:val="1C6A11D4"/>
    <w:rsid w:val="1DCD565C"/>
    <w:rsid w:val="1E60217E"/>
    <w:rsid w:val="25546BA5"/>
    <w:rsid w:val="2A790C66"/>
    <w:rsid w:val="2B761FA3"/>
    <w:rsid w:val="346860A9"/>
    <w:rsid w:val="34FD2165"/>
    <w:rsid w:val="37A65A52"/>
    <w:rsid w:val="46C87A6B"/>
    <w:rsid w:val="4DA3699B"/>
    <w:rsid w:val="53B62C34"/>
    <w:rsid w:val="57FB7908"/>
    <w:rsid w:val="6067114D"/>
    <w:rsid w:val="628B552C"/>
    <w:rsid w:val="6F1A40AD"/>
    <w:rsid w:val="6F9C5897"/>
    <w:rsid w:val="7A1D51EC"/>
    <w:rsid w:val="7F5A27E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D1EDC90D-E055-4CCC-AC80-7D53654A05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uiPriority="0" w:qFormat="1"/>
    <w:lsdException w:name="footnote text" w:semiHidden="1" w:uiPriority="0" w:qFormat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a0"/>
    <w:qFormat/>
    <w:pPr>
      <w:widowControl w:val="0"/>
      <w:jc w:val="both"/>
    </w:pPr>
    <w:rPr>
      <w:kern w:val="2"/>
      <w:sz w:val="21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Indent"/>
    <w:basedOn w:val="a"/>
    <w:next w:val="a"/>
    <w:qFormat/>
    <w:pPr>
      <w:ind w:firstLine="420"/>
    </w:pPr>
  </w:style>
  <w:style w:type="paragraph" w:styleId="a4">
    <w:name w:val="Body Text"/>
    <w:basedOn w:val="a"/>
    <w:qFormat/>
  </w:style>
  <w:style w:type="paragraph" w:styleId="a5">
    <w:name w:val="footer"/>
    <w:basedOn w:val="a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footnote text"/>
    <w:basedOn w:val="a"/>
    <w:semiHidden/>
    <w:qFormat/>
    <w:pPr>
      <w:jc w:val="left"/>
    </w:pPr>
    <w:rPr>
      <w:sz w:val="18"/>
      <w:szCs w:val="18"/>
    </w:rPr>
  </w:style>
  <w:style w:type="character" w:customStyle="1" w:styleId="Char0">
    <w:name w:val="页眉 Char"/>
    <w:basedOn w:val="a1"/>
    <w:link w:val="a6"/>
    <w:uiPriority w:val="99"/>
    <w:qFormat/>
    <w:rPr>
      <w:sz w:val="18"/>
      <w:szCs w:val="18"/>
    </w:rPr>
  </w:style>
  <w:style w:type="character" w:customStyle="1" w:styleId="Char">
    <w:name w:val="页脚 Char"/>
    <w:basedOn w:val="a1"/>
    <w:link w:val="a5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118</Words>
  <Characters>673</Characters>
  <Application>Microsoft Office Word</Application>
  <DocSecurity>0</DocSecurity>
  <Lines>5</Lines>
  <Paragraphs>1</Paragraphs>
  <ScaleCrop>false</ScaleCrop>
  <Company>微软中国</Company>
  <LinksUpToDate>false</LinksUpToDate>
  <CharactersWithSpaces>790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Administrator</cp:lastModifiedBy>
  <cp:revision>30</cp:revision>
  <dcterms:created xsi:type="dcterms:W3CDTF">2021-03-08T08:03:00Z</dcterms:created>
  <dcterms:modified xsi:type="dcterms:W3CDTF">2023-12-01T02:49:00Z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280728438B964E1895184BFAD064ED7B</vt:lpwstr>
  </property>
</Properties>
</file>