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6B7C" w:rsidRDefault="008D2C4A">
      <w:pPr>
        <w:spacing w:line="360" w:lineRule="auto"/>
        <w:rPr>
          <w:rFonts w:ascii="方正黑体_GBK" w:eastAsia="方正黑体_GBK" w:hAnsi="宋体"/>
          <w:sz w:val="24"/>
        </w:rPr>
      </w:pPr>
      <w:r>
        <w:rPr>
          <w:rFonts w:ascii="方正黑体_GBK" w:eastAsia="方正黑体_GBK" w:hAnsi="宋体" w:hint="eastAsia"/>
          <w:sz w:val="24"/>
        </w:rPr>
        <w:t>附件</w:t>
      </w:r>
    </w:p>
    <w:p w:rsidR="004B6B7C" w:rsidRDefault="004B6B7C">
      <w:pPr>
        <w:spacing w:line="360" w:lineRule="auto"/>
        <w:rPr>
          <w:rFonts w:ascii="仿宋_GB2312" w:eastAsia="仿宋_GB2312" w:hAnsi="宋体"/>
          <w:sz w:val="24"/>
        </w:rPr>
      </w:pPr>
    </w:p>
    <w:p w:rsidR="004B6B7C" w:rsidRDefault="008D2C4A">
      <w:pPr>
        <w:adjustRightInd w:val="0"/>
        <w:snapToGrid w:val="0"/>
        <w:spacing w:line="360" w:lineRule="auto"/>
        <w:jc w:val="center"/>
        <w:rPr>
          <w:rFonts w:ascii="Times New Roman" w:eastAsia="宋体" w:hAnsi="Times New Roman" w:cs="Times New Roman"/>
          <w:b/>
          <w:sz w:val="36"/>
          <w:szCs w:val="36"/>
        </w:rPr>
      </w:pPr>
      <w:r>
        <w:rPr>
          <w:rFonts w:ascii="Times New Roman" w:eastAsia="宋体" w:hAnsi="Times New Roman" w:cs="Times New Roman"/>
          <w:b/>
          <w:sz w:val="36"/>
          <w:szCs w:val="36"/>
        </w:rPr>
        <w:t>淮安市清江浦区</w:t>
      </w:r>
      <w:r>
        <w:rPr>
          <w:rFonts w:ascii="Times New Roman" w:eastAsia="宋体" w:hAnsi="Times New Roman" w:cs="Times New Roman" w:hint="eastAsia"/>
          <w:b/>
          <w:sz w:val="36"/>
          <w:szCs w:val="36"/>
        </w:rPr>
        <w:t>2024-02</w:t>
      </w:r>
      <w:r>
        <w:rPr>
          <w:rFonts w:ascii="Times New Roman" w:eastAsia="宋体" w:hAnsi="Times New Roman" w:cs="Times New Roman" w:hint="eastAsia"/>
          <w:b/>
          <w:sz w:val="36"/>
          <w:szCs w:val="36"/>
        </w:rPr>
        <w:t>号</w:t>
      </w:r>
      <w:r>
        <w:rPr>
          <w:rFonts w:ascii="Times New Roman" w:eastAsia="宋体" w:hAnsi="Times New Roman" w:cs="Times New Roman"/>
          <w:b/>
          <w:sz w:val="36"/>
          <w:szCs w:val="36"/>
        </w:rPr>
        <w:t>土地征收成片开发方案</w:t>
      </w:r>
    </w:p>
    <w:p w:rsidR="004B6B7C" w:rsidRDefault="008D2C4A">
      <w:pPr>
        <w:adjustRightInd w:val="0"/>
        <w:snapToGrid w:val="0"/>
        <w:spacing w:line="360" w:lineRule="auto"/>
        <w:jc w:val="center"/>
        <w:rPr>
          <w:rFonts w:ascii="Times New Roman" w:eastAsia="宋体" w:hAnsi="Times New Roman" w:cs="Times New Roman"/>
          <w:b/>
          <w:sz w:val="36"/>
          <w:szCs w:val="36"/>
        </w:rPr>
      </w:pPr>
      <w:r>
        <w:rPr>
          <w:rFonts w:ascii="Times New Roman" w:eastAsia="宋体" w:hAnsi="Times New Roman" w:cs="Times New Roman"/>
          <w:b/>
          <w:sz w:val="36"/>
          <w:szCs w:val="36"/>
        </w:rPr>
        <w:t>主要内容</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t>一、编制依据</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sz w:val="28"/>
        </w:rPr>
        <w:t>1</w:t>
      </w:r>
      <w:r>
        <w:rPr>
          <w:rFonts w:ascii="仿宋_GB2312" w:eastAsia="仿宋_GB2312" w:hAnsi="宋体" w:hint="eastAsia"/>
          <w:sz w:val="28"/>
        </w:rPr>
        <w:t>、《中华人民共和国土地管理法》；</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sz w:val="28"/>
        </w:rPr>
        <w:t>2</w:t>
      </w:r>
      <w:r>
        <w:rPr>
          <w:rFonts w:ascii="仿宋_GB2312" w:eastAsia="仿宋_GB2312" w:hAnsi="宋体" w:hint="eastAsia"/>
          <w:sz w:val="28"/>
        </w:rPr>
        <w:t>、《自然资源部关于</w:t>
      </w:r>
      <w:r>
        <w:rPr>
          <w:rFonts w:ascii="仿宋_GB2312" w:eastAsia="仿宋_GB2312" w:hAnsi="宋体"/>
          <w:sz w:val="28"/>
        </w:rPr>
        <w:t>印发</w:t>
      </w:r>
      <w:r>
        <w:rPr>
          <w:rFonts w:ascii="仿宋_GB2312" w:eastAsia="仿宋_GB2312" w:hAnsi="宋体" w:hint="eastAsia"/>
          <w:sz w:val="28"/>
        </w:rPr>
        <w:t>&lt;</w:t>
      </w:r>
      <w:r>
        <w:rPr>
          <w:rFonts w:ascii="仿宋_GB2312" w:eastAsia="仿宋_GB2312" w:hAnsi="宋体"/>
          <w:sz w:val="28"/>
        </w:rPr>
        <w:t>土地征收成片开发标准</w:t>
      </w:r>
      <w:r>
        <w:rPr>
          <w:rFonts w:ascii="仿宋_GB2312" w:eastAsia="仿宋_GB2312" w:hAnsi="宋体" w:hint="eastAsia"/>
          <w:sz w:val="28"/>
        </w:rPr>
        <w:t>&gt;的通知》</w:t>
      </w:r>
      <w:r>
        <w:rPr>
          <w:rFonts w:ascii="仿宋_GB2312" w:eastAsia="仿宋_GB2312" w:hAnsi="宋体"/>
          <w:sz w:val="28"/>
        </w:rPr>
        <w:t>（自然资</w:t>
      </w:r>
      <w:proofErr w:type="gramStart"/>
      <w:r>
        <w:rPr>
          <w:rFonts w:ascii="仿宋_GB2312" w:eastAsia="仿宋_GB2312" w:hAnsi="宋体" w:hint="eastAsia"/>
          <w:sz w:val="28"/>
        </w:rPr>
        <w:t>规</w:t>
      </w:r>
      <w:proofErr w:type="gramEnd"/>
      <w:r>
        <w:rPr>
          <w:rFonts w:ascii="仿宋_GB2312" w:eastAsia="仿宋_GB2312" w:hAnsi="宋体"/>
          <w:sz w:val="28"/>
        </w:rPr>
        <w:t>[202</w:t>
      </w:r>
      <w:r>
        <w:rPr>
          <w:rFonts w:ascii="仿宋_GB2312" w:eastAsia="仿宋_GB2312" w:hAnsi="宋体" w:hint="eastAsia"/>
          <w:sz w:val="28"/>
        </w:rPr>
        <w:t>3</w:t>
      </w:r>
      <w:r>
        <w:rPr>
          <w:rFonts w:ascii="仿宋_GB2312" w:eastAsia="仿宋_GB2312" w:hAnsi="宋体"/>
          <w:sz w:val="28"/>
        </w:rPr>
        <w:t>]</w:t>
      </w:r>
      <w:r>
        <w:rPr>
          <w:rFonts w:ascii="仿宋_GB2312" w:eastAsia="仿宋_GB2312" w:hAnsi="宋体" w:hint="eastAsia"/>
          <w:sz w:val="28"/>
        </w:rPr>
        <w:t>7</w:t>
      </w:r>
      <w:r>
        <w:rPr>
          <w:rFonts w:ascii="仿宋_GB2312" w:eastAsia="仿宋_GB2312" w:hAnsi="宋体"/>
          <w:sz w:val="28"/>
        </w:rPr>
        <w:t>号）</w:t>
      </w:r>
      <w:r>
        <w:rPr>
          <w:rFonts w:ascii="仿宋_GB2312" w:eastAsia="仿宋_GB2312" w:hAnsi="宋体" w:hint="eastAsia"/>
          <w:sz w:val="28"/>
        </w:rPr>
        <w:t>；</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3、《江苏省自然资源厅关于开展土地征收成片开发方案编制工作的通知》（</w:t>
      </w:r>
      <w:proofErr w:type="gramStart"/>
      <w:r>
        <w:rPr>
          <w:rFonts w:ascii="仿宋_GB2312" w:eastAsia="仿宋_GB2312" w:hAnsi="宋体" w:hint="eastAsia"/>
          <w:sz w:val="28"/>
        </w:rPr>
        <w:t>苏自然资函</w:t>
      </w:r>
      <w:proofErr w:type="gramEnd"/>
      <w:r>
        <w:rPr>
          <w:rFonts w:ascii="仿宋_GB2312" w:eastAsia="仿宋_GB2312" w:hAnsi="宋体" w:hint="eastAsia"/>
          <w:sz w:val="28"/>
        </w:rPr>
        <w:t>〔2021〕15号）；</w:t>
      </w:r>
    </w:p>
    <w:p w:rsidR="004B6B7C" w:rsidRDefault="008D2C4A">
      <w:pPr>
        <w:pStyle w:val="a0"/>
        <w:ind w:firstLineChars="200" w:firstLine="560"/>
      </w:pPr>
      <w:r>
        <w:rPr>
          <w:rFonts w:ascii="仿宋_GB2312" w:eastAsia="仿宋_GB2312" w:hAnsi="宋体"/>
          <w:sz w:val="28"/>
        </w:rPr>
        <w:t>4</w:t>
      </w:r>
      <w:r>
        <w:rPr>
          <w:rFonts w:ascii="仿宋_GB2312" w:eastAsia="仿宋_GB2312" w:hAnsi="宋体" w:hint="eastAsia"/>
          <w:sz w:val="28"/>
        </w:rPr>
        <w:t>、《江苏省自然资源厅关于加快推进土地征收成片开发方案编制工作的通知》（</w:t>
      </w:r>
      <w:proofErr w:type="gramStart"/>
      <w:r>
        <w:rPr>
          <w:rFonts w:ascii="仿宋_GB2312" w:eastAsia="仿宋_GB2312" w:hAnsi="宋体" w:hint="eastAsia"/>
          <w:sz w:val="28"/>
        </w:rPr>
        <w:t>苏自然资发</w:t>
      </w:r>
      <w:proofErr w:type="gramEnd"/>
      <w:r>
        <w:rPr>
          <w:rFonts w:ascii="仿宋_GB2312" w:eastAsia="仿宋_GB2312" w:hAnsi="宋体" w:hint="eastAsia"/>
          <w:sz w:val="28"/>
        </w:rPr>
        <w:t>〔2021〕138号）；</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5、</w:t>
      </w:r>
      <w:r>
        <w:rPr>
          <w:rFonts w:ascii="仿宋_GB2312" w:eastAsia="仿宋_GB2312" w:hAnsi="宋体"/>
          <w:sz w:val="28"/>
        </w:rPr>
        <w:t>《</w:t>
      </w:r>
      <w:r>
        <w:rPr>
          <w:rFonts w:ascii="仿宋_GB2312" w:eastAsia="仿宋_GB2312" w:hAnsi="宋体" w:hint="eastAsia"/>
          <w:sz w:val="28"/>
        </w:rPr>
        <w:t>淮安市清江浦区</w:t>
      </w:r>
      <w:r>
        <w:rPr>
          <w:rFonts w:ascii="仿宋_GB2312" w:eastAsia="仿宋_GB2312" w:hAnsi="宋体"/>
          <w:sz w:val="28"/>
        </w:rPr>
        <w:t>国民</w:t>
      </w:r>
      <w:r>
        <w:rPr>
          <w:rFonts w:ascii="仿宋_GB2312" w:eastAsia="仿宋_GB2312" w:hAnsi="宋体" w:hint="eastAsia"/>
          <w:sz w:val="28"/>
        </w:rPr>
        <w:t>经济</w:t>
      </w:r>
      <w:r>
        <w:rPr>
          <w:rFonts w:ascii="仿宋_GB2312" w:eastAsia="仿宋_GB2312" w:hAnsi="宋体"/>
          <w:sz w:val="28"/>
        </w:rPr>
        <w:t>和社会发展第十四个五年规划纲要》</w:t>
      </w:r>
      <w:r>
        <w:rPr>
          <w:rFonts w:ascii="仿宋_GB2312" w:eastAsia="仿宋_GB2312" w:hAnsi="宋体" w:hint="eastAsia"/>
          <w:sz w:val="28"/>
        </w:rPr>
        <w:t>；</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6、</w:t>
      </w:r>
      <w:r>
        <w:rPr>
          <w:rFonts w:ascii="仿宋_GB2312" w:eastAsia="仿宋_GB2312" w:hAnsi="宋体"/>
          <w:sz w:val="28"/>
        </w:rPr>
        <w:t>《</w:t>
      </w:r>
      <w:r>
        <w:rPr>
          <w:rFonts w:ascii="仿宋_GB2312" w:eastAsia="仿宋_GB2312" w:hAnsi="宋体" w:hint="eastAsia"/>
          <w:sz w:val="28"/>
        </w:rPr>
        <w:t>淮安市清江浦区</w:t>
      </w:r>
      <w:r>
        <w:rPr>
          <w:rFonts w:ascii="仿宋_GB2312" w:eastAsia="仿宋_GB2312" w:hAnsi="宋体"/>
          <w:sz w:val="28"/>
        </w:rPr>
        <w:t>国土空间规划近期实施方案》</w:t>
      </w:r>
      <w:r>
        <w:rPr>
          <w:rFonts w:ascii="仿宋_GB2312" w:eastAsia="仿宋_GB2312" w:hAnsi="宋体" w:hint="eastAsia"/>
          <w:sz w:val="28"/>
        </w:rPr>
        <w:t>；</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7、</w:t>
      </w:r>
      <w:r>
        <w:rPr>
          <w:rFonts w:ascii="仿宋_GB2312" w:eastAsia="仿宋_GB2312" w:hAnsi="宋体"/>
          <w:sz w:val="28"/>
        </w:rPr>
        <w:t>《</w:t>
      </w:r>
      <w:r>
        <w:rPr>
          <w:rFonts w:ascii="仿宋_GB2312" w:eastAsia="仿宋_GB2312" w:hAnsi="宋体" w:hint="eastAsia"/>
          <w:sz w:val="28"/>
        </w:rPr>
        <w:t>淮安市清江浦区预支空间规模指标落地上图</w:t>
      </w:r>
      <w:r>
        <w:rPr>
          <w:rFonts w:ascii="仿宋_GB2312" w:eastAsia="仿宋_GB2312" w:hAnsi="宋体"/>
          <w:sz w:val="28"/>
        </w:rPr>
        <w:t>方案》</w:t>
      </w:r>
      <w:r>
        <w:rPr>
          <w:rFonts w:ascii="仿宋_GB2312" w:eastAsia="仿宋_GB2312" w:hAnsi="宋体" w:hint="eastAsia"/>
          <w:sz w:val="28"/>
        </w:rPr>
        <w:t>；</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8、《淮安市清江浦区控制性详细规划》；</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9、《市政府关于调整征地补偿标准的通知》（</w:t>
      </w:r>
      <w:proofErr w:type="gramStart"/>
      <w:r>
        <w:rPr>
          <w:rFonts w:ascii="仿宋_GB2312" w:eastAsia="仿宋_GB2312" w:hAnsi="宋体" w:hint="eastAsia"/>
          <w:sz w:val="28"/>
        </w:rPr>
        <w:t>淮政发</w:t>
      </w:r>
      <w:proofErr w:type="gramEnd"/>
      <w:r>
        <w:rPr>
          <w:rFonts w:ascii="仿宋_GB2312" w:eastAsia="仿宋_GB2312" w:hAnsi="宋体" w:hint="eastAsia"/>
          <w:sz w:val="28"/>
        </w:rPr>
        <w:t>〔</w:t>
      </w:r>
      <w:r>
        <w:rPr>
          <w:rFonts w:ascii="仿宋_GB2312" w:eastAsia="仿宋_GB2312" w:hAnsi="宋体"/>
          <w:sz w:val="28"/>
        </w:rPr>
        <w:t>20</w:t>
      </w:r>
      <w:r>
        <w:rPr>
          <w:rFonts w:ascii="仿宋_GB2312" w:eastAsia="仿宋_GB2312" w:hAnsi="宋体" w:hint="eastAsia"/>
          <w:sz w:val="28"/>
        </w:rPr>
        <w:t>11</w:t>
      </w:r>
      <w:r>
        <w:rPr>
          <w:rFonts w:ascii="仿宋_GB2312" w:eastAsia="仿宋_GB2312" w:hAnsi="宋体"/>
          <w:sz w:val="28"/>
        </w:rPr>
        <w:t>〕1</w:t>
      </w:r>
      <w:r>
        <w:rPr>
          <w:rFonts w:ascii="仿宋_GB2312" w:eastAsia="仿宋_GB2312" w:hAnsi="宋体" w:hint="eastAsia"/>
          <w:sz w:val="28"/>
        </w:rPr>
        <w:t>04</w:t>
      </w:r>
      <w:r>
        <w:rPr>
          <w:rFonts w:ascii="仿宋_GB2312" w:eastAsia="仿宋_GB2312" w:hAnsi="宋体"/>
          <w:sz w:val="28"/>
        </w:rPr>
        <w:t>号</w:t>
      </w:r>
      <w:r>
        <w:rPr>
          <w:rFonts w:ascii="仿宋_GB2312" w:eastAsia="仿宋_GB2312" w:hAnsi="宋体" w:hint="eastAsia"/>
          <w:sz w:val="28"/>
        </w:rPr>
        <w:t>）；</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10、淮安市清江浦区永久基本农田划定成果、生态保护红线成果、最新土地变更调查成果等资料；</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11、成片开发拟建设项目的相关资料及其他资料。</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lastRenderedPageBreak/>
        <w:t>二、基本</w:t>
      </w:r>
      <w:r>
        <w:rPr>
          <w:rFonts w:ascii="方正黑体_GBK" w:eastAsia="方正黑体_GBK" w:hAnsi="宋体"/>
          <w:sz w:val="28"/>
        </w:rPr>
        <w:t>情况</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sz w:val="28"/>
        </w:rPr>
        <w:t>《</w:t>
      </w:r>
      <w:r>
        <w:rPr>
          <w:rFonts w:ascii="仿宋_GB2312" w:eastAsia="仿宋_GB2312" w:hAnsi="宋体" w:hint="eastAsia"/>
          <w:sz w:val="28"/>
        </w:rPr>
        <w:t>中华人民共和国土地管理法</w:t>
      </w:r>
      <w:r>
        <w:rPr>
          <w:rFonts w:ascii="仿宋_GB2312" w:eastAsia="仿宋_GB2312" w:hAnsi="宋体"/>
          <w:sz w:val="28"/>
        </w:rPr>
        <w:t>》第45条（五）规定：为了公共利益的需要，在土地利用总体规划确定的城镇建设用地范围内，经省级以上人民政府批准由县级以上地方人民政府组织实施的成片开发建设需要用地的，确需征收农民集体所有的土地的，可以依法实施征收；成片开发用地需符合自然资源部规定的标准方可实施征地。</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淮安市清江</w:t>
      </w:r>
      <w:proofErr w:type="gramStart"/>
      <w:r>
        <w:rPr>
          <w:rFonts w:ascii="仿宋_GB2312" w:eastAsia="仿宋_GB2312" w:hAnsi="宋体" w:hint="eastAsia"/>
          <w:sz w:val="28"/>
        </w:rPr>
        <w:t>浦区</w:t>
      </w:r>
      <w:r>
        <w:rPr>
          <w:rFonts w:ascii="仿宋_GB2312" w:eastAsia="仿宋_GB2312" w:hAnsi="宋体"/>
          <w:sz w:val="28"/>
        </w:rPr>
        <w:t>拟实施</w:t>
      </w:r>
      <w:proofErr w:type="gramEnd"/>
      <w:r>
        <w:rPr>
          <w:rFonts w:ascii="仿宋_GB2312" w:eastAsia="仿宋_GB2312" w:hAnsi="宋体"/>
          <w:sz w:val="28"/>
        </w:rPr>
        <w:t>的</w:t>
      </w:r>
      <w:r>
        <w:rPr>
          <w:rFonts w:ascii="仿宋_GB2312" w:eastAsia="仿宋_GB2312" w:hAnsi="宋体" w:hint="eastAsia"/>
          <w:sz w:val="28"/>
        </w:rPr>
        <w:t>商业住宅等项目等</w:t>
      </w:r>
      <w:r>
        <w:rPr>
          <w:rFonts w:ascii="仿宋_GB2312" w:eastAsia="仿宋_GB2312" w:hAnsi="宋体"/>
          <w:sz w:val="28"/>
        </w:rPr>
        <w:t>属于《</w:t>
      </w:r>
      <w:r>
        <w:rPr>
          <w:rFonts w:ascii="仿宋_GB2312" w:eastAsia="仿宋_GB2312" w:hAnsi="宋体" w:hint="eastAsia"/>
          <w:sz w:val="28"/>
        </w:rPr>
        <w:t>中华人民共和国土地管理法</w:t>
      </w:r>
      <w:r>
        <w:rPr>
          <w:rFonts w:ascii="仿宋_GB2312" w:eastAsia="仿宋_GB2312" w:hAnsi="宋体"/>
          <w:sz w:val="28"/>
        </w:rPr>
        <w:t>》规定的需编制成片开发方案的项目。为保障项目落地，促进土地资源节约、高效利用，促进产业发展，提高当地居民就业率和提高生活水平，按照《江苏省自然资源厅关于开展土地征收成片开发方案编制工作的通知》（</w:t>
      </w:r>
      <w:proofErr w:type="gramStart"/>
      <w:r>
        <w:rPr>
          <w:rFonts w:ascii="仿宋_GB2312" w:eastAsia="仿宋_GB2312" w:hAnsi="宋体"/>
          <w:sz w:val="28"/>
        </w:rPr>
        <w:t>苏自然资函</w:t>
      </w:r>
      <w:proofErr w:type="gramEnd"/>
      <w:r>
        <w:rPr>
          <w:rFonts w:ascii="仿宋_GB2312" w:eastAsia="仿宋_GB2312" w:hAnsi="宋体"/>
          <w:sz w:val="28"/>
        </w:rPr>
        <w:t>〔2021〕15号）等文件要求，</w:t>
      </w:r>
      <w:r>
        <w:rPr>
          <w:rFonts w:ascii="仿宋_GB2312" w:eastAsia="仿宋_GB2312" w:hAnsi="宋体" w:hint="eastAsia"/>
          <w:sz w:val="28"/>
        </w:rPr>
        <w:t>我区</w:t>
      </w:r>
      <w:r>
        <w:rPr>
          <w:rFonts w:ascii="仿宋_GB2312" w:eastAsia="仿宋_GB2312" w:hAnsi="宋体"/>
          <w:sz w:val="28"/>
        </w:rPr>
        <w:t>组织编制了《</w:t>
      </w:r>
      <w:r>
        <w:rPr>
          <w:rFonts w:ascii="仿宋_GB2312" w:eastAsia="仿宋_GB2312" w:hAnsi="宋体" w:hint="eastAsia"/>
          <w:sz w:val="28"/>
        </w:rPr>
        <w:t>淮安市清江浦区2024-02号</w:t>
      </w:r>
      <w:r>
        <w:rPr>
          <w:rFonts w:ascii="仿宋_GB2312" w:eastAsia="仿宋_GB2312" w:hAnsi="宋体"/>
          <w:sz w:val="28"/>
        </w:rPr>
        <w:t>土地征收成片开发方案》。</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本方案成片开发片区范围位于清江浦区内，</w:t>
      </w:r>
      <w:r>
        <w:rPr>
          <w:rFonts w:ascii="仿宋_GB2312" w:eastAsia="仿宋_GB2312" w:hAnsi="宋体"/>
          <w:sz w:val="28"/>
        </w:rPr>
        <w:t>本次方案拟对清江浦</w:t>
      </w:r>
      <w:proofErr w:type="gramStart"/>
      <w:r>
        <w:rPr>
          <w:rFonts w:ascii="仿宋_GB2312" w:eastAsia="仿宋_GB2312" w:hAnsi="宋体"/>
          <w:sz w:val="28"/>
        </w:rPr>
        <w:t>区划定</w:t>
      </w:r>
      <w:proofErr w:type="gramEnd"/>
      <w:r>
        <w:rPr>
          <w:rFonts w:ascii="仿宋_GB2312" w:eastAsia="仿宋_GB2312" w:hAnsi="宋体" w:hint="eastAsia"/>
          <w:sz w:val="28"/>
        </w:rPr>
        <w:t>2</w:t>
      </w:r>
      <w:r>
        <w:rPr>
          <w:rFonts w:ascii="仿宋_GB2312" w:eastAsia="仿宋_GB2312" w:hAnsi="宋体"/>
          <w:sz w:val="28"/>
        </w:rPr>
        <w:t>个成片开发片区。成片开发方案范围涉及</w:t>
      </w:r>
      <w:proofErr w:type="gramStart"/>
      <w:r>
        <w:rPr>
          <w:rFonts w:ascii="仿宋_GB2312" w:eastAsia="仿宋_GB2312" w:hAnsi="宋体" w:hint="eastAsia"/>
          <w:sz w:val="28"/>
        </w:rPr>
        <w:t>盐河街道吴圩</w:t>
      </w:r>
      <w:proofErr w:type="gramEnd"/>
      <w:r>
        <w:rPr>
          <w:rFonts w:ascii="仿宋_GB2312" w:eastAsia="仿宋_GB2312" w:hAnsi="宋体" w:hint="eastAsia"/>
          <w:sz w:val="28"/>
        </w:rPr>
        <w:t>村等5</w:t>
      </w:r>
      <w:r>
        <w:rPr>
          <w:rFonts w:ascii="仿宋_GB2312" w:eastAsia="仿宋_GB2312" w:hAnsi="宋体"/>
          <w:sz w:val="28"/>
        </w:rPr>
        <w:t>个行政村（居）范围内土地</w:t>
      </w:r>
      <w:r>
        <w:rPr>
          <w:rFonts w:ascii="仿宋_GB2312" w:eastAsia="仿宋_GB2312" w:hAnsi="宋体" w:hint="eastAsia"/>
          <w:sz w:val="28"/>
        </w:rPr>
        <w:t>，成片开发范围总面积243.94公顷（成片开发范围以最终批复为准）。外部水、电、气、热、通讯和消防基本具备地块开发条件。</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t>三</w:t>
      </w:r>
      <w:r>
        <w:rPr>
          <w:rFonts w:ascii="方正黑体_GBK" w:eastAsia="方正黑体_GBK" w:hAnsi="宋体"/>
          <w:sz w:val="28"/>
        </w:rPr>
        <w:t>、</w:t>
      </w:r>
      <w:r>
        <w:rPr>
          <w:rFonts w:ascii="方正黑体_GBK" w:eastAsia="方正黑体_GBK" w:hAnsi="宋体" w:hint="eastAsia"/>
          <w:sz w:val="28"/>
        </w:rPr>
        <w:t>成片开发的必要性</w:t>
      </w:r>
    </w:p>
    <w:p w:rsidR="004B6B7C" w:rsidRDefault="008D2C4A">
      <w:pPr>
        <w:spacing w:line="360" w:lineRule="auto"/>
        <w:ind w:firstLineChars="200" w:firstLine="560"/>
        <w:rPr>
          <w:rFonts w:ascii="仿宋_GB2312" w:eastAsia="仿宋_GB2312" w:hAnsi="宋体"/>
          <w:sz w:val="28"/>
          <w:lang w:val="de-DE"/>
        </w:rPr>
      </w:pPr>
      <w:r>
        <w:rPr>
          <w:rFonts w:ascii="仿宋_GB2312" w:eastAsia="仿宋_GB2312" w:hAnsi="宋体" w:hint="eastAsia"/>
          <w:sz w:val="28"/>
        </w:rPr>
        <w:t>为</w:t>
      </w:r>
      <w:r>
        <w:rPr>
          <w:rFonts w:ascii="仿宋_GB2312" w:eastAsia="仿宋_GB2312" w:hAnsi="宋体"/>
          <w:sz w:val="28"/>
          <w:lang w:val="de-DE"/>
        </w:rPr>
        <w:t>全面贯彻落实党的</w:t>
      </w:r>
      <w:r>
        <w:rPr>
          <w:rFonts w:ascii="仿宋_GB2312" w:eastAsia="仿宋_GB2312" w:hAnsi="宋体" w:hint="eastAsia"/>
          <w:sz w:val="28"/>
        </w:rPr>
        <w:t>二十大</w:t>
      </w:r>
      <w:r>
        <w:rPr>
          <w:rFonts w:ascii="仿宋_GB2312" w:eastAsia="仿宋_GB2312" w:hAnsi="宋体"/>
          <w:sz w:val="28"/>
          <w:lang w:val="de-DE"/>
        </w:rPr>
        <w:t>精神，深入贯彻习近平总书记视察江苏重要讲话指示精神，推动清江浦区建设</w:t>
      </w:r>
      <w:r>
        <w:rPr>
          <w:rFonts w:ascii="仿宋_GB2312" w:eastAsia="仿宋_GB2312" w:hAnsi="宋体"/>
          <w:sz w:val="28"/>
          <w:lang w:val="de-DE"/>
        </w:rPr>
        <w:t>“</w:t>
      </w:r>
      <w:r>
        <w:rPr>
          <w:rFonts w:ascii="仿宋_GB2312" w:eastAsia="仿宋_GB2312" w:hAnsi="宋体"/>
          <w:sz w:val="28"/>
          <w:lang w:val="de-DE"/>
        </w:rPr>
        <w:t>高品质现代化中心城区</w:t>
      </w:r>
      <w:r>
        <w:rPr>
          <w:rFonts w:ascii="仿宋_GB2312" w:eastAsia="仿宋_GB2312" w:hAnsi="宋体"/>
          <w:sz w:val="28"/>
          <w:lang w:val="de-DE"/>
        </w:rPr>
        <w:t>”</w:t>
      </w:r>
      <w:r>
        <w:rPr>
          <w:rFonts w:ascii="仿宋_GB2312" w:eastAsia="仿宋_GB2312" w:hAnsi="宋体"/>
          <w:sz w:val="28"/>
          <w:lang w:val="de-DE"/>
        </w:rPr>
        <w:t>取得重大进展，</w:t>
      </w:r>
      <w:r w:rsidR="00DB149C" w:rsidRPr="00DB149C">
        <w:rPr>
          <w:rFonts w:ascii="仿宋_GB2312" w:eastAsia="仿宋_GB2312" w:hAnsi="宋体" w:hint="eastAsia"/>
          <w:sz w:val="28"/>
        </w:rPr>
        <w:t>全面建设社会主义现代化国家新征程</w:t>
      </w:r>
      <w:r>
        <w:rPr>
          <w:rFonts w:ascii="仿宋_GB2312" w:eastAsia="仿宋_GB2312" w:hAnsi="宋体" w:hint="eastAsia"/>
          <w:sz w:val="28"/>
          <w:lang w:val="de-DE"/>
        </w:rPr>
        <w:t>，</w:t>
      </w:r>
      <w:r>
        <w:rPr>
          <w:rFonts w:ascii="仿宋_GB2312" w:eastAsia="仿宋_GB2312" w:hAnsi="宋体" w:hint="eastAsia"/>
          <w:sz w:val="28"/>
        </w:rPr>
        <w:t>推动高质量发</w:t>
      </w:r>
      <w:r>
        <w:rPr>
          <w:rFonts w:ascii="仿宋_GB2312" w:eastAsia="仿宋_GB2312" w:hAnsi="宋体" w:hint="eastAsia"/>
          <w:sz w:val="28"/>
        </w:rPr>
        <w:lastRenderedPageBreak/>
        <w:t>展，保障重大项目用地，需要编制成片开发方案</w:t>
      </w:r>
      <w:r>
        <w:rPr>
          <w:rFonts w:ascii="仿宋_GB2312" w:eastAsia="仿宋_GB2312" w:hAnsi="宋体"/>
          <w:sz w:val="28"/>
          <w:lang w:val="de-DE"/>
        </w:rPr>
        <w:t>。</w:t>
      </w:r>
    </w:p>
    <w:p w:rsidR="004B6B7C" w:rsidRDefault="008D2C4A">
      <w:pPr>
        <w:spacing w:line="360" w:lineRule="auto"/>
        <w:ind w:firstLineChars="200" w:firstLine="560"/>
        <w:rPr>
          <w:rFonts w:ascii="方正黑体_GBK" w:eastAsia="方正黑体_GBK"/>
          <w:sz w:val="28"/>
          <w:szCs w:val="32"/>
        </w:rPr>
      </w:pPr>
      <w:r>
        <w:rPr>
          <w:rFonts w:ascii="方正黑体_GBK" w:eastAsia="方正黑体_GBK" w:hint="eastAsia"/>
          <w:sz w:val="28"/>
          <w:szCs w:val="32"/>
        </w:rPr>
        <w:t>四、主要用途和实现</w:t>
      </w:r>
      <w:r>
        <w:rPr>
          <w:rFonts w:ascii="方正黑体_GBK" w:eastAsia="方正黑体_GBK"/>
          <w:sz w:val="28"/>
          <w:szCs w:val="32"/>
        </w:rPr>
        <w:t>的功能</w:t>
      </w:r>
    </w:p>
    <w:p w:rsidR="004B6B7C" w:rsidRDefault="008D2C4A">
      <w:pPr>
        <w:spacing w:line="360" w:lineRule="auto"/>
        <w:ind w:firstLineChars="200" w:firstLine="560"/>
        <w:rPr>
          <w:rFonts w:ascii="仿宋_GB2312" w:eastAsia="仿宋_GB2312" w:hAnsi="宋体"/>
          <w:sz w:val="28"/>
          <w:lang w:val="de-DE"/>
        </w:rPr>
      </w:pPr>
      <w:r>
        <w:rPr>
          <w:rFonts w:ascii="仿宋_GB2312" w:eastAsia="仿宋_GB2312" w:hAnsi="宋体" w:hint="eastAsia"/>
          <w:sz w:val="28"/>
          <w:lang w:val="de-DE"/>
        </w:rPr>
        <w:t>促进产业结构持续优化，</w:t>
      </w:r>
      <w:r>
        <w:rPr>
          <w:rFonts w:ascii="仿宋_GB2312" w:eastAsia="仿宋_GB2312" w:hAnsi="宋体" w:hint="eastAsia"/>
          <w:sz w:val="28"/>
        </w:rPr>
        <w:t>以产业升级为切入点，着力在固根基、扬优势、补短板上下功夫，加快打造具有清江浦特色的现代产业体系</w:t>
      </w:r>
      <w:r>
        <w:rPr>
          <w:rFonts w:ascii="仿宋_GB2312" w:eastAsia="仿宋_GB2312" w:hAnsi="宋体" w:hint="eastAsia"/>
          <w:sz w:val="28"/>
          <w:lang w:val="de-DE"/>
        </w:rPr>
        <w:t>。</w:t>
      </w:r>
    </w:p>
    <w:p w:rsidR="004B6B7C" w:rsidRDefault="008D2C4A">
      <w:pPr>
        <w:spacing w:line="360" w:lineRule="auto"/>
        <w:ind w:firstLineChars="200" w:firstLine="560"/>
        <w:rPr>
          <w:rFonts w:ascii="仿宋_GB2312" w:eastAsia="仿宋_GB2312" w:hAnsi="宋体"/>
          <w:sz w:val="28"/>
        </w:rPr>
      </w:pPr>
      <w:proofErr w:type="gramStart"/>
      <w:r>
        <w:rPr>
          <w:rFonts w:ascii="仿宋_GB2312" w:eastAsia="仿宋_GB2312" w:hAnsi="宋体" w:hint="eastAsia"/>
          <w:sz w:val="28"/>
        </w:rPr>
        <w:t>集群化</w:t>
      </w:r>
      <w:proofErr w:type="gramEnd"/>
      <w:r>
        <w:rPr>
          <w:rFonts w:ascii="仿宋_GB2312" w:eastAsia="仿宋_GB2312" w:hAnsi="宋体" w:hint="eastAsia"/>
          <w:sz w:val="28"/>
        </w:rPr>
        <w:t>发展都市型工业。认真落实《关于加快推进新型工业化发展的实施意见》，聚焦提升都市型工业经济发展水平，重点推动重大项目建设，推进生物医药、绿色食品两大重点产业做大做强。</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t>五、公益性用地</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片区</w:t>
      </w:r>
      <w:r>
        <w:rPr>
          <w:rFonts w:ascii="仿宋_GB2312" w:eastAsia="仿宋_GB2312" w:hAnsi="宋体"/>
          <w:sz w:val="28"/>
        </w:rPr>
        <w:t>内</w:t>
      </w:r>
      <w:r>
        <w:rPr>
          <w:rFonts w:ascii="仿宋_GB2312" w:eastAsia="仿宋_GB2312" w:hAnsi="宋体" w:hint="eastAsia"/>
          <w:sz w:val="28"/>
        </w:rPr>
        <w:t>公共</w:t>
      </w:r>
      <w:r>
        <w:rPr>
          <w:rFonts w:ascii="仿宋_GB2312" w:eastAsia="仿宋_GB2312" w:hAnsi="宋体"/>
          <w:sz w:val="28"/>
        </w:rPr>
        <w:t>管理与公共服务设施用地、绿地与广场用地、</w:t>
      </w:r>
      <w:r>
        <w:rPr>
          <w:rFonts w:ascii="仿宋_GB2312" w:eastAsia="仿宋_GB2312" w:hAnsi="宋体" w:hint="eastAsia"/>
          <w:sz w:val="28"/>
        </w:rPr>
        <w:t>道路</w:t>
      </w:r>
      <w:r>
        <w:rPr>
          <w:rFonts w:ascii="仿宋_GB2312" w:eastAsia="仿宋_GB2312" w:hAnsi="宋体"/>
          <w:sz w:val="28"/>
        </w:rPr>
        <w:t>与交通设施用地</w:t>
      </w:r>
      <w:r>
        <w:rPr>
          <w:rFonts w:ascii="仿宋_GB2312" w:eastAsia="仿宋_GB2312" w:hAnsi="宋体" w:hint="eastAsia"/>
          <w:sz w:val="28"/>
        </w:rPr>
        <w:t>等</w:t>
      </w:r>
      <w:r>
        <w:rPr>
          <w:rFonts w:ascii="仿宋_GB2312" w:eastAsia="仿宋_GB2312" w:hAnsi="宋体"/>
          <w:sz w:val="28"/>
        </w:rPr>
        <w:t>属于公益性用地，</w:t>
      </w:r>
      <w:r>
        <w:rPr>
          <w:rFonts w:ascii="仿宋_GB2312" w:eastAsia="仿宋_GB2312" w:hAnsi="宋体" w:hint="eastAsia"/>
          <w:sz w:val="28"/>
        </w:rPr>
        <w:t>公益性用地占比符合《江苏省自然资源厅关于加快推进土地征收成片开发方案编制工作的通知》（</w:t>
      </w:r>
      <w:proofErr w:type="gramStart"/>
      <w:r>
        <w:rPr>
          <w:rFonts w:ascii="仿宋_GB2312" w:eastAsia="仿宋_GB2312" w:hAnsi="宋体" w:hint="eastAsia"/>
          <w:sz w:val="28"/>
        </w:rPr>
        <w:t>苏自然资发</w:t>
      </w:r>
      <w:proofErr w:type="gramEnd"/>
      <w:r>
        <w:rPr>
          <w:rFonts w:ascii="仿宋_GB2312" w:eastAsia="仿宋_GB2312" w:hAnsi="宋体" w:hint="eastAsia"/>
          <w:sz w:val="28"/>
        </w:rPr>
        <w:t>〔2021〕138号）文件要求。</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t>六、规划符合情况</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1、本方案符合国民经济和社会发展规划的发展定位、要求，已纳入国民经济和社会发展年度计划。</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2、</w:t>
      </w:r>
      <w:r>
        <w:rPr>
          <w:rFonts w:ascii="仿宋_GB2312" w:eastAsia="仿宋_GB2312" w:hAnsi="宋体"/>
          <w:sz w:val="28"/>
        </w:rPr>
        <w:t>根据《</w:t>
      </w:r>
      <w:r>
        <w:rPr>
          <w:rFonts w:ascii="仿宋_GB2312" w:eastAsia="仿宋_GB2312" w:hAnsi="宋体" w:hint="eastAsia"/>
          <w:sz w:val="28"/>
        </w:rPr>
        <w:t>淮安市清江浦区</w:t>
      </w:r>
      <w:r>
        <w:rPr>
          <w:rFonts w:ascii="仿宋_GB2312" w:eastAsia="仿宋_GB2312" w:hAnsi="宋体"/>
          <w:sz w:val="28"/>
        </w:rPr>
        <w:t>控制性详细规划》</w:t>
      </w:r>
      <w:r>
        <w:rPr>
          <w:rFonts w:ascii="仿宋_GB2312" w:eastAsia="仿宋_GB2312" w:hAnsi="宋体" w:hint="eastAsia"/>
          <w:sz w:val="28"/>
        </w:rPr>
        <w:t>，片区</w:t>
      </w:r>
      <w:r>
        <w:rPr>
          <w:rFonts w:ascii="仿宋_GB2312" w:eastAsia="仿宋_GB2312" w:hAnsi="宋体"/>
          <w:sz w:val="28"/>
        </w:rPr>
        <w:t>规划地类包括</w:t>
      </w:r>
      <w:r>
        <w:rPr>
          <w:rFonts w:ascii="仿宋_GB2312" w:eastAsia="仿宋_GB2312" w:hAnsi="宋体" w:hint="eastAsia"/>
          <w:sz w:val="28"/>
        </w:rPr>
        <w:t>住宅用地、商业用地、</w:t>
      </w:r>
      <w:r>
        <w:rPr>
          <w:rFonts w:ascii="仿宋_GB2312" w:eastAsia="仿宋_GB2312" w:hAnsi="宋体"/>
          <w:sz w:val="28"/>
        </w:rPr>
        <w:t>绿地与广场用地</w:t>
      </w:r>
      <w:r>
        <w:rPr>
          <w:rFonts w:ascii="仿宋_GB2312" w:eastAsia="仿宋_GB2312" w:hAnsi="宋体" w:hint="eastAsia"/>
          <w:sz w:val="28"/>
        </w:rPr>
        <w:t>、公共</w:t>
      </w:r>
      <w:r>
        <w:rPr>
          <w:rFonts w:ascii="仿宋_GB2312" w:eastAsia="仿宋_GB2312" w:hAnsi="宋体"/>
          <w:sz w:val="28"/>
        </w:rPr>
        <w:t>管理与公共服务设施用地</w:t>
      </w:r>
      <w:r>
        <w:rPr>
          <w:rFonts w:ascii="仿宋_GB2312" w:eastAsia="仿宋_GB2312" w:hAnsi="宋体" w:hint="eastAsia"/>
          <w:sz w:val="28"/>
        </w:rPr>
        <w:t>等</w:t>
      </w:r>
      <w:r>
        <w:rPr>
          <w:rFonts w:ascii="仿宋_GB2312" w:eastAsia="仿宋_GB2312" w:hAnsi="宋体"/>
          <w:sz w:val="28"/>
        </w:rPr>
        <w:t>，本方案符合控制性详细规划</w:t>
      </w:r>
      <w:r>
        <w:rPr>
          <w:rFonts w:ascii="仿宋_GB2312" w:eastAsia="仿宋_GB2312" w:hAnsi="宋体" w:hint="eastAsia"/>
          <w:sz w:val="28"/>
        </w:rPr>
        <w:t>。</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t>七、永久基本农田及生态保护情况</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本方案</w:t>
      </w:r>
      <w:r>
        <w:rPr>
          <w:rFonts w:ascii="仿宋_GB2312" w:eastAsia="仿宋_GB2312" w:hAnsi="宋体"/>
          <w:sz w:val="28"/>
        </w:rPr>
        <w:t>避让了</w:t>
      </w:r>
      <w:r>
        <w:rPr>
          <w:rFonts w:ascii="仿宋_GB2312" w:eastAsia="仿宋_GB2312" w:hAnsi="宋体" w:hint="eastAsia"/>
          <w:sz w:val="28"/>
        </w:rPr>
        <w:t>永久</w:t>
      </w:r>
      <w:r>
        <w:rPr>
          <w:rFonts w:ascii="仿宋_GB2312" w:eastAsia="仿宋_GB2312" w:hAnsi="宋体"/>
          <w:sz w:val="28"/>
        </w:rPr>
        <w:t>基本农田和</w:t>
      </w:r>
      <w:r>
        <w:rPr>
          <w:rFonts w:ascii="仿宋_GB2312" w:eastAsia="仿宋_GB2312" w:hAnsi="宋体" w:hint="eastAsia"/>
          <w:sz w:val="28"/>
        </w:rPr>
        <w:t>生态</w:t>
      </w:r>
      <w:r>
        <w:rPr>
          <w:rFonts w:ascii="仿宋_GB2312" w:eastAsia="仿宋_GB2312" w:hAnsi="宋体"/>
          <w:sz w:val="28"/>
        </w:rPr>
        <w:t>保护红线。</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t>八、拟建设项目、开发时序和实施计划</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成片</w:t>
      </w:r>
      <w:r>
        <w:rPr>
          <w:rFonts w:ascii="仿宋_GB2312" w:eastAsia="仿宋_GB2312" w:hAnsi="宋体"/>
          <w:sz w:val="28"/>
        </w:rPr>
        <w:t>开发范围内拟建设项目以</w:t>
      </w:r>
      <w:r>
        <w:rPr>
          <w:rFonts w:ascii="仿宋_GB2312" w:eastAsia="仿宋_GB2312" w:hAnsi="宋体" w:hint="eastAsia"/>
          <w:sz w:val="28"/>
        </w:rPr>
        <w:t>住宅、工业</w:t>
      </w:r>
      <w:r>
        <w:rPr>
          <w:rFonts w:ascii="仿宋_GB2312" w:eastAsia="仿宋_GB2312" w:hAnsi="宋体"/>
          <w:sz w:val="28"/>
        </w:rPr>
        <w:t>为主，</w:t>
      </w:r>
      <w:r>
        <w:rPr>
          <w:rFonts w:ascii="仿宋_GB2312" w:eastAsia="仿宋_GB2312" w:hAnsi="宋体" w:hint="eastAsia"/>
          <w:sz w:val="28"/>
        </w:rPr>
        <w:t>配套建设基础设</w:t>
      </w:r>
      <w:r>
        <w:rPr>
          <w:rFonts w:ascii="仿宋_GB2312" w:eastAsia="仿宋_GB2312" w:hAnsi="宋体" w:hint="eastAsia"/>
          <w:sz w:val="28"/>
        </w:rPr>
        <w:lastRenderedPageBreak/>
        <w:t>施、公共服务类项目，</w:t>
      </w:r>
      <w:r>
        <w:rPr>
          <w:rFonts w:ascii="仿宋_GB2312" w:eastAsia="仿宋_GB2312" w:hAnsi="宋体"/>
          <w:sz w:val="28"/>
        </w:rPr>
        <w:t>计划在</w:t>
      </w:r>
      <w:r>
        <w:rPr>
          <w:rFonts w:ascii="仿宋_GB2312" w:eastAsia="仿宋_GB2312" w:hAnsi="宋体" w:hint="eastAsia"/>
          <w:sz w:val="28"/>
        </w:rPr>
        <w:t>2024至2026年分</w:t>
      </w:r>
      <w:r>
        <w:rPr>
          <w:rFonts w:ascii="仿宋_GB2312" w:eastAsia="仿宋_GB2312" w:hAnsi="宋体"/>
          <w:sz w:val="28"/>
        </w:rPr>
        <w:t>批次启动土地征收工作。</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t>九、</w:t>
      </w:r>
      <w:r>
        <w:rPr>
          <w:rFonts w:ascii="方正黑体_GBK" w:eastAsia="方正黑体_GBK" w:hAnsi="宋体"/>
          <w:sz w:val="28"/>
        </w:rPr>
        <w:t>选址适宜性</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项目选址未见现状地质灾害，未处于地质灾害易发区。</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t>十、落实被征地群众安置补偿、维护群众利益的计划措施</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1、征地补偿标准：参照《市政府关于调整征地补偿标准的通知》（</w:t>
      </w:r>
      <w:proofErr w:type="gramStart"/>
      <w:r>
        <w:rPr>
          <w:rFonts w:ascii="仿宋_GB2312" w:eastAsia="仿宋_GB2312" w:hAnsi="宋体" w:hint="eastAsia"/>
          <w:sz w:val="28"/>
        </w:rPr>
        <w:t>淮政发</w:t>
      </w:r>
      <w:proofErr w:type="gramEnd"/>
      <w:r>
        <w:rPr>
          <w:rFonts w:ascii="仿宋_GB2312" w:eastAsia="仿宋_GB2312" w:hAnsi="宋体" w:hint="eastAsia"/>
          <w:sz w:val="28"/>
        </w:rPr>
        <w:t>〔</w:t>
      </w:r>
      <w:r>
        <w:rPr>
          <w:rFonts w:ascii="仿宋_GB2312" w:eastAsia="仿宋_GB2312" w:hAnsi="宋体"/>
          <w:sz w:val="28"/>
        </w:rPr>
        <w:t>20</w:t>
      </w:r>
      <w:r>
        <w:rPr>
          <w:rFonts w:ascii="仿宋_GB2312" w:eastAsia="仿宋_GB2312" w:hAnsi="宋体" w:hint="eastAsia"/>
          <w:sz w:val="28"/>
        </w:rPr>
        <w:t>11</w:t>
      </w:r>
      <w:r>
        <w:rPr>
          <w:rFonts w:ascii="仿宋_GB2312" w:eastAsia="仿宋_GB2312" w:hAnsi="宋体"/>
          <w:sz w:val="28"/>
        </w:rPr>
        <w:t>〕1</w:t>
      </w:r>
      <w:r>
        <w:rPr>
          <w:rFonts w:ascii="仿宋_GB2312" w:eastAsia="仿宋_GB2312" w:hAnsi="宋体" w:hint="eastAsia"/>
          <w:sz w:val="28"/>
        </w:rPr>
        <w:t>04</w:t>
      </w:r>
      <w:r>
        <w:rPr>
          <w:rFonts w:ascii="仿宋_GB2312" w:eastAsia="仿宋_GB2312" w:hAnsi="宋体"/>
          <w:sz w:val="28"/>
        </w:rPr>
        <w:t>号</w:t>
      </w:r>
      <w:r>
        <w:rPr>
          <w:rFonts w:ascii="仿宋_GB2312" w:eastAsia="仿宋_GB2312" w:hAnsi="宋体" w:hint="eastAsia"/>
          <w:sz w:val="28"/>
        </w:rPr>
        <w:t>）</w:t>
      </w:r>
      <w:r>
        <w:rPr>
          <w:rFonts w:ascii="仿宋_GB2312" w:eastAsia="仿宋_GB2312" w:hAnsi="宋体"/>
          <w:sz w:val="28"/>
        </w:rPr>
        <w:t>的标准执行</w:t>
      </w:r>
      <w:r>
        <w:rPr>
          <w:rFonts w:ascii="仿宋_GB2312" w:eastAsia="仿宋_GB2312" w:hAnsi="宋体" w:hint="eastAsia"/>
          <w:sz w:val="28"/>
        </w:rPr>
        <w:t>。</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sz w:val="28"/>
        </w:rPr>
        <w:t>2</w:t>
      </w:r>
      <w:r>
        <w:rPr>
          <w:rFonts w:ascii="仿宋_GB2312" w:eastAsia="仿宋_GB2312" w:hAnsi="宋体" w:hint="eastAsia"/>
          <w:sz w:val="28"/>
        </w:rPr>
        <w:t>、征地安置：清江浦区人民政府计划通过货币安置、社保安置、搬迁安置相结合的安置方式，可以妥善解决被征地农民的生产和生活。</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sz w:val="28"/>
        </w:rPr>
        <w:t>3</w:t>
      </w:r>
      <w:r>
        <w:rPr>
          <w:rFonts w:ascii="仿宋_GB2312" w:eastAsia="仿宋_GB2312" w:hAnsi="宋体" w:hint="eastAsia"/>
          <w:sz w:val="28"/>
        </w:rPr>
        <w:t>、征地程序：征收土地涉及的片区，淮安</w:t>
      </w:r>
      <w:r>
        <w:rPr>
          <w:rFonts w:ascii="仿宋_GB2312" w:eastAsia="仿宋_GB2312" w:hAnsi="宋体"/>
          <w:sz w:val="28"/>
        </w:rPr>
        <w:t>自然资源和</w:t>
      </w:r>
      <w:r>
        <w:rPr>
          <w:rFonts w:ascii="仿宋_GB2312" w:eastAsia="仿宋_GB2312" w:hAnsi="宋体" w:hint="eastAsia"/>
          <w:sz w:val="28"/>
        </w:rPr>
        <w:t>规划局清江</w:t>
      </w:r>
      <w:proofErr w:type="gramStart"/>
      <w:r>
        <w:rPr>
          <w:rFonts w:ascii="仿宋_GB2312" w:eastAsia="仿宋_GB2312" w:hAnsi="宋体" w:hint="eastAsia"/>
          <w:sz w:val="28"/>
        </w:rPr>
        <w:t>浦分局</w:t>
      </w:r>
      <w:proofErr w:type="gramEnd"/>
      <w:r>
        <w:rPr>
          <w:rFonts w:ascii="仿宋_GB2312" w:eastAsia="仿宋_GB2312" w:hAnsi="宋体" w:hint="eastAsia"/>
          <w:sz w:val="28"/>
        </w:rPr>
        <w:t>将严格按规定履行征地报批前告知、现状调查及确认、听证、公告等程序。</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t>十一、土地利用效益评估</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（一）土地利用效益：有效</w:t>
      </w:r>
      <w:r>
        <w:rPr>
          <w:rFonts w:ascii="仿宋_GB2312" w:eastAsia="仿宋_GB2312" w:hAnsi="宋体"/>
          <w:sz w:val="28"/>
        </w:rPr>
        <w:t>整合区域内土地资源</w:t>
      </w:r>
      <w:r>
        <w:rPr>
          <w:rFonts w:ascii="仿宋_GB2312" w:eastAsia="仿宋_GB2312" w:hAnsi="宋体" w:hint="eastAsia"/>
          <w:sz w:val="28"/>
        </w:rPr>
        <w:t>，促进各板块土地资源要素的统筹利用，提升土地利用效率。</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（二）经济效益：</w:t>
      </w:r>
      <w:r>
        <w:rPr>
          <w:rFonts w:ascii="仿宋_GB2312" w:eastAsia="仿宋_GB2312" w:hAnsi="宋体"/>
          <w:sz w:val="28"/>
        </w:rPr>
        <w:t>通过本次成片开发的实施</w:t>
      </w:r>
      <w:r>
        <w:rPr>
          <w:rFonts w:ascii="仿宋_GB2312" w:eastAsia="仿宋_GB2312" w:hAnsi="宋体" w:hint="eastAsia"/>
          <w:sz w:val="28"/>
        </w:rPr>
        <w:t>，将促进周边创新资源、生产能力、市场需求的集聚与对接，弥补自身创新动力的不足</w:t>
      </w:r>
      <w:r>
        <w:rPr>
          <w:rFonts w:ascii="仿宋_GB2312" w:eastAsia="仿宋_GB2312" w:hAnsi="宋体"/>
          <w:sz w:val="28"/>
        </w:rPr>
        <w:t>。</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（三）社会效益：</w:t>
      </w:r>
      <w:r>
        <w:rPr>
          <w:rFonts w:ascii="仿宋_GB2312" w:eastAsia="仿宋_GB2312" w:hAnsi="宋体"/>
          <w:sz w:val="28"/>
        </w:rPr>
        <w:t>通过本次成片开发的实施</w:t>
      </w:r>
      <w:r>
        <w:rPr>
          <w:rFonts w:ascii="仿宋_GB2312" w:eastAsia="仿宋_GB2312" w:hAnsi="宋体" w:hint="eastAsia"/>
          <w:sz w:val="28"/>
        </w:rPr>
        <w:t>，</w:t>
      </w:r>
      <w:r>
        <w:rPr>
          <w:rFonts w:ascii="仿宋_GB2312" w:eastAsia="仿宋_GB2312" w:hAnsi="宋体"/>
          <w:sz w:val="28"/>
        </w:rPr>
        <w:t>有利于</w:t>
      </w:r>
      <w:r>
        <w:rPr>
          <w:rFonts w:ascii="仿宋_GB2312" w:eastAsia="仿宋_GB2312" w:hAnsi="宋体" w:hint="eastAsia"/>
          <w:sz w:val="28"/>
        </w:rPr>
        <w:t>完善</w:t>
      </w:r>
      <w:r>
        <w:rPr>
          <w:rFonts w:ascii="仿宋_GB2312" w:eastAsia="仿宋_GB2312" w:hAnsi="宋体"/>
          <w:sz w:val="28"/>
        </w:rPr>
        <w:t>市政基础设施、</w:t>
      </w:r>
      <w:r>
        <w:rPr>
          <w:rFonts w:ascii="仿宋_GB2312" w:eastAsia="仿宋_GB2312" w:hAnsi="宋体" w:hint="eastAsia"/>
          <w:sz w:val="28"/>
        </w:rPr>
        <w:t>增加就业</w:t>
      </w:r>
      <w:r>
        <w:rPr>
          <w:rFonts w:ascii="仿宋_GB2312" w:eastAsia="仿宋_GB2312" w:hAnsi="宋体"/>
          <w:sz w:val="28"/>
        </w:rPr>
        <w:t>岗位</w:t>
      </w:r>
      <w:r>
        <w:rPr>
          <w:rFonts w:ascii="仿宋_GB2312" w:eastAsia="仿宋_GB2312" w:hAnsi="宋体" w:hint="eastAsia"/>
          <w:sz w:val="28"/>
        </w:rPr>
        <w:t>、</w:t>
      </w:r>
      <w:r>
        <w:rPr>
          <w:rFonts w:ascii="仿宋_GB2312" w:eastAsia="仿宋_GB2312" w:hAnsi="宋体"/>
          <w:sz w:val="28"/>
        </w:rPr>
        <w:t>提高就业率</w:t>
      </w:r>
      <w:r>
        <w:rPr>
          <w:rFonts w:ascii="仿宋_GB2312" w:eastAsia="仿宋_GB2312" w:hAnsi="宋体" w:hint="eastAsia"/>
          <w:sz w:val="28"/>
        </w:rPr>
        <w:t>，</w:t>
      </w:r>
      <w:r>
        <w:rPr>
          <w:rFonts w:ascii="仿宋_GB2312" w:eastAsia="仿宋_GB2312" w:hAnsi="宋体"/>
          <w:sz w:val="28"/>
        </w:rPr>
        <w:t>保障公共利益</w:t>
      </w:r>
      <w:r>
        <w:rPr>
          <w:rFonts w:ascii="仿宋_GB2312" w:eastAsia="仿宋_GB2312" w:hAnsi="宋体" w:hint="eastAsia"/>
          <w:sz w:val="28"/>
        </w:rPr>
        <w:t>。</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t>（四）生态效益：</w:t>
      </w:r>
      <w:r>
        <w:rPr>
          <w:rFonts w:ascii="仿宋_GB2312" w:eastAsia="仿宋_GB2312" w:hAnsi="宋体"/>
          <w:sz w:val="28"/>
        </w:rPr>
        <w:t>通过本次成片开发的实施</w:t>
      </w:r>
      <w:r>
        <w:rPr>
          <w:rFonts w:ascii="仿宋_GB2312" w:eastAsia="仿宋_GB2312" w:hAnsi="宋体" w:hint="eastAsia"/>
          <w:sz w:val="28"/>
        </w:rPr>
        <w:t>，</w:t>
      </w:r>
      <w:r>
        <w:rPr>
          <w:rFonts w:ascii="仿宋_GB2312" w:eastAsia="仿宋_GB2312" w:hAnsi="宋体"/>
          <w:sz w:val="28"/>
        </w:rPr>
        <w:t>有利于</w:t>
      </w:r>
      <w:r>
        <w:rPr>
          <w:rFonts w:ascii="仿宋_GB2312" w:eastAsia="仿宋_GB2312" w:hAnsi="宋体" w:hint="eastAsia"/>
          <w:sz w:val="28"/>
        </w:rPr>
        <w:t>促进淮安市生态资源整合、生态功能强化</w:t>
      </w:r>
      <w:r>
        <w:rPr>
          <w:rFonts w:ascii="仿宋_GB2312" w:eastAsia="仿宋_GB2312" w:hAnsi="宋体"/>
          <w:sz w:val="28"/>
        </w:rPr>
        <w:t>。</w:t>
      </w:r>
    </w:p>
    <w:p w:rsidR="004B6B7C" w:rsidRDefault="008D2C4A">
      <w:pPr>
        <w:spacing w:line="360" w:lineRule="auto"/>
        <w:ind w:firstLineChars="200" w:firstLine="560"/>
        <w:rPr>
          <w:rFonts w:ascii="方正黑体_GBK" w:eastAsia="方正黑体_GBK" w:hAnsi="宋体"/>
          <w:sz w:val="28"/>
        </w:rPr>
      </w:pPr>
      <w:r>
        <w:rPr>
          <w:rFonts w:ascii="方正黑体_GBK" w:eastAsia="方正黑体_GBK" w:hAnsi="宋体" w:hint="eastAsia"/>
          <w:sz w:val="28"/>
        </w:rPr>
        <w:t>十二、结论</w:t>
      </w:r>
    </w:p>
    <w:p w:rsidR="004B6B7C" w:rsidRDefault="008D2C4A">
      <w:pPr>
        <w:spacing w:line="360" w:lineRule="auto"/>
        <w:ind w:firstLineChars="200" w:firstLine="560"/>
        <w:rPr>
          <w:rFonts w:ascii="仿宋_GB2312" w:eastAsia="仿宋_GB2312" w:hAnsi="宋体"/>
          <w:sz w:val="28"/>
        </w:rPr>
      </w:pPr>
      <w:r>
        <w:rPr>
          <w:rFonts w:ascii="仿宋_GB2312" w:eastAsia="仿宋_GB2312" w:hAnsi="宋体" w:hint="eastAsia"/>
          <w:sz w:val="28"/>
        </w:rPr>
        <w:lastRenderedPageBreak/>
        <w:t>《淮安市清江浦区土地征收成片开发方案》符合自然资源</w:t>
      </w:r>
      <w:proofErr w:type="gramStart"/>
      <w:r>
        <w:rPr>
          <w:rFonts w:ascii="仿宋_GB2312" w:eastAsia="仿宋_GB2312" w:hAnsi="宋体" w:hint="eastAsia"/>
          <w:sz w:val="28"/>
        </w:rPr>
        <w:t>部土地</w:t>
      </w:r>
      <w:proofErr w:type="gramEnd"/>
      <w:r>
        <w:rPr>
          <w:rFonts w:ascii="仿宋_GB2312" w:eastAsia="仿宋_GB2312" w:hAnsi="宋体" w:hint="eastAsia"/>
          <w:sz w:val="28"/>
        </w:rPr>
        <w:t>征收成片开发的标准,做到了保护耕地、维护农民合法权益、节约集约用地、保护生态环境，能够促进经济社会可持续发展。</w:t>
      </w:r>
      <w:r>
        <w:rPr>
          <w:rFonts w:ascii="仿宋_GB2312" w:eastAsia="仿宋_GB2312" w:hAnsi="宋体"/>
          <w:sz w:val="28"/>
        </w:rPr>
        <w:br w:type="page"/>
      </w:r>
    </w:p>
    <w:p w:rsidR="004B6B7C" w:rsidRDefault="008D2C4A">
      <w:pPr>
        <w:spacing w:line="360" w:lineRule="auto"/>
        <w:rPr>
          <w:rFonts w:ascii="仿宋_GB2312" w:eastAsia="仿宋_GB2312" w:hAnsi="宋体"/>
          <w:sz w:val="28"/>
        </w:rPr>
      </w:pPr>
      <w:r>
        <w:rPr>
          <w:rFonts w:ascii="仿宋_GB2312" w:eastAsia="仿宋_GB2312" w:hAnsi="宋体" w:hint="eastAsia"/>
          <w:noProof/>
          <w:sz w:val="28"/>
        </w:rPr>
        <w:lastRenderedPageBreak/>
        <w:drawing>
          <wp:inline distT="0" distB="0" distL="114300" distR="114300">
            <wp:extent cx="5271135" cy="5212080"/>
            <wp:effectExtent l="0" t="0" r="12065" b="7620"/>
            <wp:docPr id="1" name="图片 1" descr="1711614494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711614494461"/>
                    <pic:cNvPicPr>
                      <a:picLocks noChangeAspect="1"/>
                    </pic:cNvPicPr>
                  </pic:nvPicPr>
                  <pic:blipFill>
                    <a:blip r:embed="rId6"/>
                    <a:stretch>
                      <a:fillRect/>
                    </a:stretch>
                  </pic:blipFill>
                  <pic:spPr>
                    <a:xfrm>
                      <a:off x="0" y="0"/>
                      <a:ext cx="5271135" cy="5212080"/>
                    </a:xfrm>
                    <a:prstGeom prst="rect">
                      <a:avLst/>
                    </a:prstGeom>
                  </pic:spPr>
                </pic:pic>
              </a:graphicData>
            </a:graphic>
          </wp:inline>
        </w:drawing>
      </w:r>
    </w:p>
    <w:p w:rsidR="004B6B7C" w:rsidRDefault="008D2C4A">
      <w:pPr>
        <w:spacing w:line="360" w:lineRule="auto"/>
        <w:rPr>
          <w:rFonts w:ascii="仿宋_GB2312" w:eastAsia="仿宋_GB2312" w:hAnsi="宋体"/>
          <w:sz w:val="28"/>
        </w:rPr>
      </w:pPr>
      <w:r>
        <w:rPr>
          <w:rFonts w:ascii="仿宋_GB2312" w:eastAsia="仿宋_GB2312" w:hAnsi="宋体" w:hint="eastAsia"/>
          <w:sz w:val="28"/>
        </w:rPr>
        <w:t>（成片开发范围以最终批复为准）</w:t>
      </w:r>
      <w:r>
        <w:rPr>
          <w:rFonts w:ascii="仿宋_GB2312" w:eastAsia="仿宋_GB2312" w:hAnsi="宋体"/>
          <w:sz w:val="28"/>
        </w:rPr>
        <w:br w:type="page"/>
      </w:r>
    </w:p>
    <w:p w:rsidR="004B6B7C" w:rsidRDefault="008D2C4A">
      <w:pPr>
        <w:spacing w:line="360" w:lineRule="auto"/>
        <w:rPr>
          <w:rFonts w:ascii="仿宋_GB2312" w:eastAsia="仿宋_GB2312" w:hAnsi="宋体"/>
          <w:sz w:val="28"/>
        </w:rPr>
      </w:pPr>
      <w:r>
        <w:rPr>
          <w:rFonts w:ascii="仿宋_GB2312" w:eastAsia="仿宋_GB2312" w:hAnsi="宋体" w:hint="eastAsia"/>
          <w:noProof/>
          <w:sz w:val="28"/>
        </w:rPr>
        <w:lastRenderedPageBreak/>
        <w:drawing>
          <wp:inline distT="0" distB="0" distL="114300" distR="114300">
            <wp:extent cx="5273040" cy="5273040"/>
            <wp:effectExtent l="0" t="0" r="10160" b="10160"/>
            <wp:docPr id="2" name="图片 2" descr="1711614514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711614514425"/>
                    <pic:cNvPicPr>
                      <a:picLocks noChangeAspect="1"/>
                    </pic:cNvPicPr>
                  </pic:nvPicPr>
                  <pic:blipFill>
                    <a:blip r:embed="rId7"/>
                    <a:stretch>
                      <a:fillRect/>
                    </a:stretch>
                  </pic:blipFill>
                  <pic:spPr>
                    <a:xfrm>
                      <a:off x="0" y="0"/>
                      <a:ext cx="5273040" cy="5273040"/>
                    </a:xfrm>
                    <a:prstGeom prst="rect">
                      <a:avLst/>
                    </a:prstGeom>
                  </pic:spPr>
                </pic:pic>
              </a:graphicData>
            </a:graphic>
          </wp:inline>
        </w:drawing>
      </w:r>
    </w:p>
    <w:p w:rsidR="004B6B7C" w:rsidRDefault="008D2C4A">
      <w:pPr>
        <w:spacing w:line="360" w:lineRule="auto"/>
        <w:rPr>
          <w:rFonts w:ascii="仿宋_GB2312" w:eastAsia="仿宋_GB2312" w:hAnsi="宋体"/>
          <w:sz w:val="28"/>
        </w:rPr>
      </w:pPr>
      <w:r>
        <w:rPr>
          <w:rFonts w:ascii="仿宋_GB2312" w:eastAsia="仿宋_GB2312" w:hAnsi="宋体" w:hint="eastAsia"/>
          <w:sz w:val="28"/>
        </w:rPr>
        <w:t>（成片开发范围以最终批复为准）</w:t>
      </w:r>
    </w:p>
    <w:p w:rsidR="004B6B7C" w:rsidRDefault="008D2C4A">
      <w:pPr>
        <w:spacing w:line="360" w:lineRule="auto"/>
        <w:rPr>
          <w:rFonts w:ascii="仿宋_GB2312" w:eastAsia="仿宋_GB2312" w:hAnsi="宋体"/>
          <w:sz w:val="28"/>
        </w:rPr>
      </w:pPr>
      <w:r>
        <w:rPr>
          <w:rFonts w:ascii="仿宋_GB2312" w:eastAsia="仿宋_GB2312" w:hAnsi="宋体" w:hint="eastAsia"/>
          <w:noProof/>
          <w:sz w:val="28"/>
        </w:rPr>
        <w:lastRenderedPageBreak/>
        <w:drawing>
          <wp:inline distT="0" distB="0" distL="114300" distR="114300">
            <wp:extent cx="5271135" cy="5260340"/>
            <wp:effectExtent l="0" t="0" r="12065" b="10160"/>
            <wp:docPr id="3" name="图片 3" descr="1711614534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711614534619"/>
                    <pic:cNvPicPr>
                      <a:picLocks noChangeAspect="1"/>
                    </pic:cNvPicPr>
                  </pic:nvPicPr>
                  <pic:blipFill>
                    <a:blip r:embed="rId8"/>
                    <a:stretch>
                      <a:fillRect/>
                    </a:stretch>
                  </pic:blipFill>
                  <pic:spPr>
                    <a:xfrm>
                      <a:off x="0" y="0"/>
                      <a:ext cx="5271135" cy="5260340"/>
                    </a:xfrm>
                    <a:prstGeom prst="rect">
                      <a:avLst/>
                    </a:prstGeom>
                  </pic:spPr>
                </pic:pic>
              </a:graphicData>
            </a:graphic>
          </wp:inline>
        </w:drawing>
      </w:r>
    </w:p>
    <w:p w:rsidR="004B6B7C" w:rsidRDefault="008D2C4A">
      <w:pPr>
        <w:spacing w:line="360" w:lineRule="auto"/>
        <w:rPr>
          <w:rFonts w:ascii="仿宋_GB2312" w:eastAsia="仿宋_GB2312" w:hAnsi="宋体"/>
          <w:sz w:val="28"/>
        </w:rPr>
      </w:pPr>
      <w:r>
        <w:rPr>
          <w:rFonts w:ascii="仿宋_GB2312" w:eastAsia="仿宋_GB2312" w:hAnsi="宋体" w:hint="eastAsia"/>
          <w:sz w:val="28"/>
        </w:rPr>
        <w:t>（成片开发范围以最终批复为准）</w:t>
      </w:r>
    </w:p>
    <w:p w:rsidR="004B6B7C" w:rsidRDefault="004B6B7C">
      <w:pPr>
        <w:spacing w:line="360" w:lineRule="auto"/>
        <w:rPr>
          <w:rFonts w:ascii="仿宋_GB2312" w:eastAsia="仿宋_GB2312" w:hAnsi="宋体"/>
          <w:sz w:val="28"/>
        </w:rPr>
      </w:pPr>
    </w:p>
    <w:sectPr w:rsidR="004B6B7C" w:rsidSect="004B6B7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5628" w:rsidRDefault="00275628" w:rsidP="00E83480">
      <w:r>
        <w:separator/>
      </w:r>
    </w:p>
  </w:endnote>
  <w:endnote w:type="continuationSeparator" w:id="0">
    <w:p w:rsidR="00275628" w:rsidRDefault="00275628" w:rsidP="00E83480">
      <w:r>
        <w:continuationSeparator/>
      </w:r>
    </w:p>
  </w:endnote>
</w:endnotes>
</file>

<file path=word/fontTable.xml><?xml version="1.0" encoding="utf-8"?>
<w:fonts xmlns:r="http://schemas.openxmlformats.org/officeDocument/2006/relationships" xmlns:w="http://schemas.openxmlformats.org/wordprocessingml/2006/main">
  <w:font w:name="等线">
    <w:altName w:val="Arial Unicode MS"/>
    <w:charset w:val="86"/>
    <w:family w:val="auto"/>
    <w:pitch w:val="default"/>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方正黑体_GBK">
    <w:altName w:val="Arial Unicode MS"/>
    <w:charset w:val="86"/>
    <w:family w:val="script"/>
    <w:pitch w:val="default"/>
    <w:sig w:usb0="00000000" w:usb1="080E0000" w:usb2="0000000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等线 Light">
    <w:altName w:val="宋体"/>
    <w:panose1 w:val="00000000000000000000"/>
    <w:charset w:val="86"/>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5628" w:rsidRDefault="00275628" w:rsidP="00E83480">
      <w:r>
        <w:separator/>
      </w:r>
    </w:p>
  </w:footnote>
  <w:footnote w:type="continuationSeparator" w:id="0">
    <w:p w:rsidR="00275628" w:rsidRDefault="00275628" w:rsidP="00E8348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YWM1ZGQ4YWEyNjNiNTllM2RjZWJhYTQ5ZDVkNTA0NmIifQ=="/>
  </w:docVars>
  <w:rsids>
    <w:rsidRoot w:val="003555C3"/>
    <w:rsid w:val="000730E6"/>
    <w:rsid w:val="00082DD7"/>
    <w:rsid w:val="001005E7"/>
    <w:rsid w:val="00101109"/>
    <w:rsid w:val="00102D43"/>
    <w:rsid w:val="00135834"/>
    <w:rsid w:val="00135D98"/>
    <w:rsid w:val="0016057B"/>
    <w:rsid w:val="001C4A47"/>
    <w:rsid w:val="0020124A"/>
    <w:rsid w:val="002044AF"/>
    <w:rsid w:val="00225546"/>
    <w:rsid w:val="00270E42"/>
    <w:rsid w:val="00274455"/>
    <w:rsid w:val="00275628"/>
    <w:rsid w:val="002D2F61"/>
    <w:rsid w:val="00307CE8"/>
    <w:rsid w:val="00340633"/>
    <w:rsid w:val="00345971"/>
    <w:rsid w:val="003555C3"/>
    <w:rsid w:val="00356C53"/>
    <w:rsid w:val="0037552E"/>
    <w:rsid w:val="003B3048"/>
    <w:rsid w:val="004051DE"/>
    <w:rsid w:val="00415572"/>
    <w:rsid w:val="0041703D"/>
    <w:rsid w:val="00434805"/>
    <w:rsid w:val="00457C2D"/>
    <w:rsid w:val="004B2DC6"/>
    <w:rsid w:val="004B6B7C"/>
    <w:rsid w:val="004C1689"/>
    <w:rsid w:val="004D2515"/>
    <w:rsid w:val="004F37EC"/>
    <w:rsid w:val="00547911"/>
    <w:rsid w:val="005B3B82"/>
    <w:rsid w:val="005E129C"/>
    <w:rsid w:val="0061063E"/>
    <w:rsid w:val="00642A20"/>
    <w:rsid w:val="00662440"/>
    <w:rsid w:val="006A0923"/>
    <w:rsid w:val="006C249A"/>
    <w:rsid w:val="006E0789"/>
    <w:rsid w:val="006F4042"/>
    <w:rsid w:val="007033FC"/>
    <w:rsid w:val="00766737"/>
    <w:rsid w:val="007952C8"/>
    <w:rsid w:val="007D2921"/>
    <w:rsid w:val="00817CBA"/>
    <w:rsid w:val="00820EDA"/>
    <w:rsid w:val="0084677B"/>
    <w:rsid w:val="00865914"/>
    <w:rsid w:val="00880DB1"/>
    <w:rsid w:val="008906F6"/>
    <w:rsid w:val="008A1E27"/>
    <w:rsid w:val="008D2C4A"/>
    <w:rsid w:val="008F6B5E"/>
    <w:rsid w:val="00933477"/>
    <w:rsid w:val="00956966"/>
    <w:rsid w:val="009A07CF"/>
    <w:rsid w:val="009D4296"/>
    <w:rsid w:val="00A3413D"/>
    <w:rsid w:val="00A8001E"/>
    <w:rsid w:val="00A952AB"/>
    <w:rsid w:val="00AA5C0F"/>
    <w:rsid w:val="00AD0683"/>
    <w:rsid w:val="00B200FC"/>
    <w:rsid w:val="00B2574B"/>
    <w:rsid w:val="00BD1B96"/>
    <w:rsid w:val="00C11A3F"/>
    <w:rsid w:val="00C41F03"/>
    <w:rsid w:val="00C513FB"/>
    <w:rsid w:val="00C514A0"/>
    <w:rsid w:val="00C77591"/>
    <w:rsid w:val="00CB3BBE"/>
    <w:rsid w:val="00CE33DD"/>
    <w:rsid w:val="00CE6C69"/>
    <w:rsid w:val="00D10A0A"/>
    <w:rsid w:val="00D2716F"/>
    <w:rsid w:val="00D30789"/>
    <w:rsid w:val="00D84557"/>
    <w:rsid w:val="00D96F87"/>
    <w:rsid w:val="00DB025A"/>
    <w:rsid w:val="00DB149C"/>
    <w:rsid w:val="00DB6A56"/>
    <w:rsid w:val="00DE1058"/>
    <w:rsid w:val="00DE1F70"/>
    <w:rsid w:val="00E13D2B"/>
    <w:rsid w:val="00E16DC6"/>
    <w:rsid w:val="00E2522F"/>
    <w:rsid w:val="00E33463"/>
    <w:rsid w:val="00E83480"/>
    <w:rsid w:val="00ED4505"/>
    <w:rsid w:val="00F06B4F"/>
    <w:rsid w:val="00F418B6"/>
    <w:rsid w:val="00F658AB"/>
    <w:rsid w:val="00F77CE8"/>
    <w:rsid w:val="00F823F7"/>
    <w:rsid w:val="00FB3C58"/>
    <w:rsid w:val="00FB46C2"/>
    <w:rsid w:val="083B3AC0"/>
    <w:rsid w:val="08CE6992"/>
    <w:rsid w:val="0C0B6BE2"/>
    <w:rsid w:val="139F572A"/>
    <w:rsid w:val="13AF38DA"/>
    <w:rsid w:val="167C7B32"/>
    <w:rsid w:val="1C6A11D4"/>
    <w:rsid w:val="1DCD565C"/>
    <w:rsid w:val="25546BA5"/>
    <w:rsid w:val="26D427BE"/>
    <w:rsid w:val="2A790C66"/>
    <w:rsid w:val="30F950F3"/>
    <w:rsid w:val="346860A9"/>
    <w:rsid w:val="34FD2165"/>
    <w:rsid w:val="37A65A52"/>
    <w:rsid w:val="3A3054D4"/>
    <w:rsid w:val="46C87A6B"/>
    <w:rsid w:val="4DA3699B"/>
    <w:rsid w:val="52F54BA7"/>
    <w:rsid w:val="53B62C34"/>
    <w:rsid w:val="6067114D"/>
    <w:rsid w:val="628B552C"/>
    <w:rsid w:val="6F1A40AD"/>
    <w:rsid w:val="6F9C5897"/>
    <w:rsid w:val="7A1D51EC"/>
    <w:rsid w:val="7F5A27E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footnote text" w:uiPriority="0" w:unhideWhenUsed="0"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uiPriority="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4B6B7C"/>
    <w:pPr>
      <w:widowControl w:val="0"/>
      <w:jc w:val="both"/>
    </w:pPr>
    <w:rPr>
      <w:kern w:val="2"/>
      <w:sz w:val="21"/>
      <w:szCs w:val="22"/>
    </w:rPr>
  </w:style>
  <w:style w:type="character" w:default="1" w:styleId="a1">
    <w:name w:val="Default Paragraph Font"/>
    <w:uiPriority w:val="1"/>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note text"/>
    <w:basedOn w:val="a"/>
    <w:autoRedefine/>
    <w:semiHidden/>
    <w:qFormat/>
    <w:rsid w:val="004B6B7C"/>
    <w:pPr>
      <w:jc w:val="left"/>
    </w:pPr>
    <w:rPr>
      <w:sz w:val="18"/>
      <w:szCs w:val="18"/>
    </w:rPr>
  </w:style>
  <w:style w:type="paragraph" w:styleId="a4">
    <w:name w:val="Normal Indent"/>
    <w:basedOn w:val="a"/>
    <w:next w:val="a"/>
    <w:qFormat/>
    <w:rsid w:val="004B6B7C"/>
    <w:pPr>
      <w:ind w:firstLine="420"/>
    </w:pPr>
  </w:style>
  <w:style w:type="paragraph" w:styleId="a5">
    <w:name w:val="Body Text"/>
    <w:basedOn w:val="a"/>
    <w:autoRedefine/>
    <w:qFormat/>
    <w:rsid w:val="004B6B7C"/>
  </w:style>
  <w:style w:type="paragraph" w:styleId="a6">
    <w:name w:val="footer"/>
    <w:basedOn w:val="a"/>
    <w:link w:val="Char"/>
    <w:autoRedefine/>
    <w:uiPriority w:val="99"/>
    <w:unhideWhenUsed/>
    <w:qFormat/>
    <w:rsid w:val="004B6B7C"/>
    <w:pPr>
      <w:tabs>
        <w:tab w:val="center" w:pos="4153"/>
        <w:tab w:val="right" w:pos="8306"/>
      </w:tabs>
      <w:snapToGrid w:val="0"/>
      <w:jc w:val="left"/>
    </w:pPr>
    <w:rPr>
      <w:sz w:val="18"/>
      <w:szCs w:val="18"/>
    </w:rPr>
  </w:style>
  <w:style w:type="paragraph" w:styleId="a7">
    <w:name w:val="header"/>
    <w:basedOn w:val="a"/>
    <w:link w:val="Char0"/>
    <w:autoRedefine/>
    <w:uiPriority w:val="99"/>
    <w:unhideWhenUsed/>
    <w:qFormat/>
    <w:rsid w:val="004B6B7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1"/>
    <w:link w:val="a7"/>
    <w:autoRedefine/>
    <w:uiPriority w:val="99"/>
    <w:qFormat/>
    <w:rsid w:val="004B6B7C"/>
    <w:rPr>
      <w:sz w:val="18"/>
      <w:szCs w:val="18"/>
    </w:rPr>
  </w:style>
  <w:style w:type="character" w:customStyle="1" w:styleId="Char">
    <w:name w:val="页脚 Char"/>
    <w:basedOn w:val="a1"/>
    <w:link w:val="a6"/>
    <w:autoRedefine/>
    <w:uiPriority w:val="99"/>
    <w:qFormat/>
    <w:rsid w:val="004B6B7C"/>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319</Words>
  <Characters>1819</Characters>
  <Application>Microsoft Office Word</Application>
  <DocSecurity>0</DocSecurity>
  <Lines>15</Lines>
  <Paragraphs>4</Paragraphs>
  <ScaleCrop>false</ScaleCrop>
  <Company>Microsoft</Company>
  <LinksUpToDate>false</LinksUpToDate>
  <CharactersWithSpaces>2134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dell</cp:lastModifiedBy>
  <cp:revision>3</cp:revision>
  <dcterms:created xsi:type="dcterms:W3CDTF">2024-03-29T01:48:00Z</dcterms:created>
  <dcterms:modified xsi:type="dcterms:W3CDTF">2024-04-07T06:23:00Z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280728438B964E1895184BFAD064ED7B</vt:lpwstr>
  </property>
</Properties>
</file>