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BDC10">
      <w:pPr>
        <w:pStyle w:val="2"/>
        <w:bidi w:val="0"/>
        <w:ind w:left="0" w:leftChars="0" w:firstLine="0" w:firstLineChars="0"/>
        <w:jc w:val="left"/>
        <w:rPr>
          <w:rFonts w:hint="default" w:ascii="Times New Roman" w:hAnsi="Times New Roman" w:eastAsia="方正仿宋_GBK" w:cs="Times New Roman"/>
          <w:b/>
          <w:bCs w:val="0"/>
          <w:sz w:val="32"/>
          <w:szCs w:val="32"/>
          <w:lang w:val="en-US" w:eastAsia="zh-CN"/>
        </w:rPr>
      </w:pPr>
      <w:bookmarkStart w:id="0" w:name="_Toc204016716"/>
      <w:r>
        <w:rPr>
          <w:rFonts w:hint="default" w:ascii="Times New Roman" w:hAnsi="Times New Roman" w:eastAsia="方正仿宋_GBK" w:cs="Times New Roman"/>
          <w:b/>
          <w:bCs w:val="0"/>
          <w:sz w:val="32"/>
          <w:szCs w:val="32"/>
          <w:lang w:val="en-US" w:eastAsia="zh-CN"/>
        </w:rPr>
        <w:t>附件</w:t>
      </w:r>
    </w:p>
    <w:p w14:paraId="66FF0624">
      <w:pPr>
        <w:pStyle w:val="2"/>
        <w:keepNext/>
        <w:keepLines/>
        <w:pageBreakBefore w:val="0"/>
        <w:widowControl/>
        <w:kinsoku/>
        <w:wordWrap/>
        <w:overflowPunct/>
        <w:topLinePunct w:val="0"/>
        <w:autoSpaceDE/>
        <w:autoSpaceDN/>
        <w:bidi w:val="0"/>
        <w:adjustRightInd/>
        <w:snapToGrid/>
        <w:spacing w:before="0" w:after="0" w:line="660" w:lineRule="exact"/>
        <w:ind w:left="0" w:leftChars="0" w:firstLine="0" w:firstLineChars="0"/>
        <w:jc w:val="center"/>
        <w:textAlignment w:val="auto"/>
        <w:rPr>
          <w:rFonts w:hint="default" w:ascii="Times New Roman" w:hAnsi="Times New Roman" w:eastAsia="方正小标宋_GBK" w:cs="Times New Roman"/>
          <w:b w:val="0"/>
          <w:bCs/>
          <w:sz w:val="44"/>
          <w:szCs w:val="44"/>
          <w:lang w:val="en-US" w:eastAsia="zh-CN"/>
        </w:rPr>
      </w:pPr>
      <w:r>
        <w:rPr>
          <w:rFonts w:hint="default" w:ascii="Times New Roman" w:hAnsi="Times New Roman" w:eastAsia="方正小标宋_GBK" w:cs="Times New Roman"/>
          <w:b w:val="0"/>
          <w:bCs/>
          <w:sz w:val="44"/>
          <w:szCs w:val="44"/>
          <w:lang w:val="en-US" w:eastAsia="zh-CN"/>
        </w:rPr>
        <w:t>武墩街道普墩工业西片区土地成片</w:t>
      </w:r>
    </w:p>
    <w:p w14:paraId="2E068E3B">
      <w:pPr>
        <w:pStyle w:val="2"/>
        <w:keepNext/>
        <w:keepLines/>
        <w:pageBreakBefore w:val="0"/>
        <w:widowControl/>
        <w:kinsoku/>
        <w:wordWrap/>
        <w:overflowPunct/>
        <w:topLinePunct w:val="0"/>
        <w:autoSpaceDE/>
        <w:autoSpaceDN/>
        <w:bidi w:val="0"/>
        <w:adjustRightInd/>
        <w:snapToGrid/>
        <w:spacing w:before="0" w:after="0" w:line="660" w:lineRule="exact"/>
        <w:ind w:left="0" w:leftChars="0" w:firstLine="0" w:firstLineChars="0"/>
        <w:jc w:val="center"/>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小标宋_GBK" w:cs="Times New Roman"/>
          <w:b w:val="0"/>
          <w:bCs/>
          <w:sz w:val="44"/>
          <w:szCs w:val="44"/>
          <w:lang w:val="en-US" w:eastAsia="zh-CN"/>
        </w:rPr>
        <w:t>开发征收符合公共利益情况的说明</w:t>
      </w:r>
    </w:p>
    <w:p w14:paraId="0B26FD42">
      <w:pPr>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方正黑体_GBK" w:cs="Times New Roman"/>
          <w:b w:val="0"/>
          <w:bCs w:val="0"/>
          <w:sz w:val="32"/>
          <w:szCs w:val="32"/>
          <w:lang w:val="en-US" w:eastAsia="zh-CN"/>
        </w:rPr>
      </w:pPr>
    </w:p>
    <w:p w14:paraId="029636C2">
      <w:pPr>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一</w:t>
      </w:r>
      <w:r>
        <w:rPr>
          <w:rFonts w:hint="default" w:ascii="Times New Roman" w:hAnsi="Times New Roman" w:eastAsia="方正黑体_GBK" w:cs="Times New Roman"/>
          <w:b w:val="0"/>
          <w:bCs w:val="0"/>
          <w:sz w:val="32"/>
          <w:szCs w:val="32"/>
        </w:rPr>
        <w:t>、</w:t>
      </w:r>
      <w:bookmarkEnd w:id="0"/>
      <w:r>
        <w:rPr>
          <w:rFonts w:hint="default" w:ascii="Times New Roman" w:hAnsi="Times New Roman" w:eastAsia="方正黑体_GBK" w:cs="Times New Roman"/>
          <w:b w:val="0"/>
          <w:bCs w:val="0"/>
          <w:sz w:val="32"/>
          <w:szCs w:val="32"/>
        </w:rPr>
        <w:t>成片开发范围基本情况</w:t>
      </w:r>
    </w:p>
    <w:p w14:paraId="57BF5C4F">
      <w:pPr>
        <w:keepNext w:val="0"/>
        <w:keepLines w:val="0"/>
        <w:pageBreakBefore w:val="0"/>
        <w:widowControl/>
        <w:kinsoku/>
        <w:wordWrap/>
        <w:overflowPunct/>
        <w:topLinePunct w:val="0"/>
        <w:autoSpaceDE/>
        <w:autoSpaceDN/>
        <w:bidi w:val="0"/>
        <w:adjustRightInd/>
        <w:snapToGrid/>
        <w:spacing w:line="560" w:lineRule="exact"/>
        <w:ind w:firstLine="643"/>
        <w:textAlignment w:val="auto"/>
        <w:outlineLvl w:val="1"/>
        <w:rPr>
          <w:rFonts w:hint="default" w:ascii="Times New Roman" w:hAnsi="Times New Roman" w:eastAsia="方正楷体_GBK" w:cs="Times New Roman"/>
          <w:b w:val="0"/>
          <w:bCs w:val="0"/>
          <w:kern w:val="0"/>
          <w:sz w:val="32"/>
          <w:szCs w:val="32"/>
          <w:lang w:bidi="ar"/>
        </w:rPr>
      </w:pPr>
      <w:bookmarkStart w:id="1" w:name="_Toc204016717"/>
      <w:r>
        <w:rPr>
          <w:rFonts w:hint="default" w:ascii="Times New Roman" w:hAnsi="Times New Roman" w:eastAsia="方正楷体_GBK" w:cs="Times New Roman"/>
          <w:b w:val="0"/>
          <w:bCs w:val="0"/>
          <w:kern w:val="0"/>
          <w:sz w:val="32"/>
          <w:szCs w:val="32"/>
          <w:lang w:bidi="ar"/>
        </w:rPr>
        <w:t>（一）</w:t>
      </w:r>
      <w:bookmarkEnd w:id="1"/>
      <w:r>
        <w:rPr>
          <w:rFonts w:hint="default" w:ascii="Times New Roman" w:hAnsi="Times New Roman" w:eastAsia="方正楷体_GBK" w:cs="Times New Roman"/>
          <w:b w:val="0"/>
          <w:bCs w:val="0"/>
          <w:kern w:val="0"/>
          <w:sz w:val="32"/>
          <w:szCs w:val="32"/>
          <w:lang w:bidi="ar"/>
        </w:rPr>
        <w:t>土地开发利用现状</w:t>
      </w:r>
    </w:p>
    <w:p w14:paraId="7F661007">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1</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sz w:val="32"/>
          <w:szCs w:val="32"/>
          <w:lang w:val="en-US" w:eastAsia="zh-CN"/>
        </w:rPr>
        <w:t>成片开发范围</w:t>
      </w:r>
    </w:p>
    <w:p w14:paraId="63452681">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eastAsia="zh-CN"/>
        </w:rPr>
        <w:t>武墩街道普墩工业</w:t>
      </w:r>
      <w:r>
        <w:rPr>
          <w:rFonts w:hint="default" w:ascii="Times New Roman" w:hAnsi="Times New Roman" w:eastAsia="方正仿宋_GBK" w:cs="Times New Roman"/>
          <w:b w:val="0"/>
          <w:bCs w:val="0"/>
          <w:sz w:val="32"/>
          <w:szCs w:val="32"/>
          <w:lang w:val="en-US" w:eastAsia="zh-CN"/>
        </w:rPr>
        <w:t>西</w:t>
      </w:r>
      <w:r>
        <w:rPr>
          <w:rFonts w:hint="default" w:ascii="Times New Roman" w:hAnsi="Times New Roman" w:eastAsia="方正仿宋_GBK" w:cs="Times New Roman"/>
          <w:b w:val="0"/>
          <w:bCs w:val="0"/>
          <w:sz w:val="32"/>
          <w:szCs w:val="32"/>
          <w:lang w:eastAsia="zh-CN"/>
        </w:rPr>
        <w:t>片区（清江浦区SM320812-2026-0</w:t>
      </w:r>
      <w:r>
        <w:rPr>
          <w:rFonts w:hint="default" w:ascii="Times New Roman" w:hAnsi="Times New Roman" w:eastAsia="方正仿宋_GBK" w:cs="Times New Roman"/>
          <w:b w:val="0"/>
          <w:bCs w:val="0"/>
          <w:sz w:val="32"/>
          <w:szCs w:val="32"/>
          <w:lang w:val="en-US" w:eastAsia="zh-CN"/>
        </w:rPr>
        <w:t>12</w:t>
      </w:r>
      <w:r>
        <w:rPr>
          <w:rFonts w:hint="default" w:ascii="Times New Roman" w:hAnsi="Times New Roman" w:eastAsia="方正仿宋_GBK" w:cs="Times New Roman"/>
          <w:b w:val="0"/>
          <w:bCs w:val="0"/>
          <w:sz w:val="32"/>
          <w:szCs w:val="32"/>
          <w:lang w:eastAsia="zh-CN"/>
        </w:rPr>
        <w:t>号）</w:t>
      </w:r>
      <w:r>
        <w:rPr>
          <w:rFonts w:hint="default" w:ascii="Times New Roman" w:hAnsi="Times New Roman" w:eastAsia="方正仿宋_GBK" w:cs="Times New Roman"/>
          <w:b w:val="0"/>
          <w:bCs w:val="0"/>
          <w:sz w:val="32"/>
          <w:szCs w:val="32"/>
        </w:rPr>
        <w:t>位于</w:t>
      </w:r>
      <w:r>
        <w:rPr>
          <w:rFonts w:hint="default" w:ascii="Times New Roman" w:hAnsi="Times New Roman" w:eastAsia="方正仿宋_GBK" w:cs="Times New Roman"/>
          <w:b w:val="0"/>
          <w:bCs w:val="0"/>
          <w:sz w:val="32"/>
          <w:szCs w:val="32"/>
          <w:lang w:val="en-US" w:eastAsia="zh-CN"/>
        </w:rPr>
        <w:t>武墩街道</w:t>
      </w:r>
      <w:r>
        <w:rPr>
          <w:rFonts w:hint="default" w:ascii="Times New Roman" w:hAnsi="Times New Roman" w:eastAsia="方正仿宋_GBK" w:cs="Times New Roman"/>
          <w:b w:val="0"/>
          <w:bCs w:val="0"/>
          <w:sz w:val="32"/>
          <w:szCs w:val="32"/>
        </w:rPr>
        <w:t>，涉及</w:t>
      </w:r>
      <w:r>
        <w:rPr>
          <w:rFonts w:hint="default" w:ascii="Times New Roman" w:hAnsi="Times New Roman" w:eastAsia="方正仿宋_GBK" w:cs="Times New Roman"/>
          <w:b w:val="0"/>
          <w:bCs w:val="0"/>
          <w:sz w:val="32"/>
          <w:szCs w:val="32"/>
          <w:lang w:val="en-US" w:eastAsia="zh-CN"/>
        </w:rPr>
        <w:t>普墩村</w:t>
      </w:r>
      <w:r>
        <w:rPr>
          <w:rFonts w:hint="default" w:ascii="Times New Roman" w:hAnsi="Times New Roman" w:eastAsia="方正仿宋_GBK" w:cs="Times New Roman"/>
          <w:b w:val="0"/>
          <w:bCs w:val="0"/>
          <w:sz w:val="32"/>
          <w:szCs w:val="32"/>
          <w:highlight w:val="none"/>
        </w:rPr>
        <w:t>，北至</w:t>
      </w:r>
      <w:r>
        <w:rPr>
          <w:rFonts w:hint="default" w:ascii="Times New Roman" w:hAnsi="Times New Roman" w:eastAsia="方正仿宋_GBK" w:cs="Times New Roman"/>
          <w:b w:val="0"/>
          <w:bCs w:val="0"/>
          <w:sz w:val="32"/>
          <w:szCs w:val="32"/>
          <w:highlight w:val="none"/>
          <w:lang w:val="en-US" w:eastAsia="zh-CN"/>
        </w:rPr>
        <w:t>武侯路</w:t>
      </w:r>
      <w:r>
        <w:rPr>
          <w:rFonts w:hint="default" w:ascii="Times New Roman" w:hAnsi="Times New Roman" w:eastAsia="方正仿宋_GBK" w:cs="Times New Roman"/>
          <w:b w:val="0"/>
          <w:bCs w:val="0"/>
          <w:sz w:val="32"/>
          <w:szCs w:val="32"/>
          <w:highlight w:val="none"/>
        </w:rPr>
        <w:t>，南至</w:t>
      </w:r>
      <w:r>
        <w:rPr>
          <w:rFonts w:hint="default" w:ascii="Times New Roman" w:hAnsi="Times New Roman" w:eastAsia="方正仿宋_GBK" w:cs="Times New Roman"/>
          <w:b w:val="0"/>
          <w:bCs w:val="0"/>
          <w:sz w:val="32"/>
          <w:szCs w:val="32"/>
          <w:highlight w:val="none"/>
          <w:lang w:val="en-US" w:eastAsia="zh-CN"/>
        </w:rPr>
        <w:t>园区内规划道路</w:t>
      </w:r>
      <w:r>
        <w:rPr>
          <w:rFonts w:hint="default" w:ascii="Times New Roman" w:hAnsi="Times New Roman" w:eastAsia="方正仿宋_GBK" w:cs="Times New Roman"/>
          <w:b w:val="0"/>
          <w:bCs w:val="0"/>
          <w:sz w:val="32"/>
          <w:szCs w:val="32"/>
          <w:highlight w:val="none"/>
        </w:rPr>
        <w:t>，东至</w:t>
      </w:r>
      <w:r>
        <w:rPr>
          <w:rFonts w:hint="default" w:ascii="Times New Roman" w:hAnsi="Times New Roman" w:eastAsia="方正仿宋_GBK" w:cs="Times New Roman"/>
          <w:b w:val="0"/>
          <w:bCs w:val="0"/>
          <w:sz w:val="32"/>
          <w:szCs w:val="32"/>
          <w:highlight w:val="none"/>
          <w:lang w:val="en-US" w:eastAsia="zh-CN"/>
        </w:rPr>
        <w:t>园区内规划道路</w:t>
      </w:r>
      <w:r>
        <w:rPr>
          <w:rFonts w:hint="default" w:ascii="Times New Roman" w:hAnsi="Times New Roman" w:eastAsia="方正仿宋_GBK" w:cs="Times New Roman"/>
          <w:b w:val="0"/>
          <w:bCs w:val="0"/>
          <w:sz w:val="32"/>
          <w:szCs w:val="32"/>
          <w:highlight w:val="none"/>
        </w:rPr>
        <w:t>，西至</w:t>
      </w:r>
      <w:r>
        <w:rPr>
          <w:rFonts w:hint="default" w:ascii="Times New Roman" w:hAnsi="Times New Roman" w:eastAsia="方正仿宋_GBK" w:cs="Times New Roman"/>
          <w:b w:val="0"/>
          <w:bCs w:val="0"/>
          <w:sz w:val="32"/>
          <w:szCs w:val="32"/>
          <w:highlight w:val="none"/>
          <w:lang w:val="en-US" w:eastAsia="zh-CN"/>
        </w:rPr>
        <w:t>镇西路东</w:t>
      </w:r>
      <w:r>
        <w:rPr>
          <w:rFonts w:hint="default" w:ascii="Times New Roman" w:hAnsi="Times New Roman" w:eastAsia="方正仿宋_GBK" w:cs="Times New Roman"/>
          <w:b w:val="0"/>
          <w:bCs w:val="0"/>
          <w:sz w:val="32"/>
          <w:szCs w:val="32"/>
          <w:highlight w:val="none"/>
        </w:rPr>
        <w:t>，</w:t>
      </w:r>
      <w:r>
        <w:rPr>
          <w:rFonts w:hint="default" w:ascii="Times New Roman" w:hAnsi="Times New Roman" w:eastAsia="方正仿宋_GBK" w:cs="Times New Roman"/>
          <w:b w:val="0"/>
          <w:bCs w:val="0"/>
          <w:sz w:val="32"/>
          <w:szCs w:val="32"/>
        </w:rPr>
        <w:t>总面积为</w:t>
      </w:r>
      <w:r>
        <w:rPr>
          <w:rFonts w:hint="default" w:ascii="Times New Roman" w:hAnsi="Times New Roman" w:eastAsia="方正仿宋_GBK" w:cs="Times New Roman"/>
          <w:b w:val="0"/>
          <w:bCs w:val="0"/>
          <w:sz w:val="32"/>
          <w:szCs w:val="32"/>
          <w:lang w:eastAsia="zh-CN"/>
        </w:rPr>
        <w:t>1.1498</w:t>
      </w:r>
      <w:r>
        <w:rPr>
          <w:rFonts w:hint="default" w:ascii="Times New Roman" w:hAnsi="Times New Roman" w:eastAsia="方正仿宋_GBK" w:cs="Times New Roman"/>
          <w:b w:val="0"/>
          <w:bCs w:val="0"/>
          <w:sz w:val="32"/>
          <w:szCs w:val="32"/>
        </w:rPr>
        <w:t>公顷。</w:t>
      </w:r>
    </w:p>
    <w:p w14:paraId="2E8D7303">
      <w:pPr>
        <w:ind w:firstLine="0" w:firstLineChars="0"/>
        <w:jc w:val="center"/>
        <w:rPr>
          <w:rFonts w:hint="default" w:ascii="Times New Roman" w:hAnsi="Times New Roman" w:eastAsia="仿宋_GB2312" w:cs="Times New Roman"/>
          <w:b/>
          <w:kern w:val="0"/>
          <w:sz w:val="30"/>
          <w:szCs w:val="30"/>
          <w:lang w:bidi="ar"/>
        </w:rPr>
      </w:pPr>
      <w:r>
        <w:rPr>
          <w:rFonts w:hint="default" w:ascii="Times New Roman" w:hAnsi="Times New Roman" w:eastAsia="仿宋_GB2312" w:cs="Times New Roman"/>
          <w:b/>
          <w:kern w:val="0"/>
          <w:sz w:val="30"/>
          <w:szCs w:val="30"/>
        </w:rPr>
        <w:drawing>
          <wp:inline distT="0" distB="0" distL="114300" distR="114300">
            <wp:extent cx="5270500" cy="3727450"/>
            <wp:effectExtent l="0" t="0" r="0" b="6350"/>
            <wp:docPr id="1" name="图片 1" descr="C:/Users/Administrator/Desktop/淮安成片开发.jpg淮安成片开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淮安成片开发.jpg淮安成片开发"/>
                    <pic:cNvPicPr>
                      <a:picLocks noChangeAspect="1"/>
                    </pic:cNvPicPr>
                  </pic:nvPicPr>
                  <pic:blipFill>
                    <a:blip r:embed="rId6"/>
                    <a:srcRect t="30" b="30"/>
                    <a:stretch>
                      <a:fillRect/>
                    </a:stretch>
                  </pic:blipFill>
                  <pic:spPr>
                    <a:xfrm>
                      <a:off x="0" y="0"/>
                      <a:ext cx="5270500" cy="3727450"/>
                    </a:xfrm>
                    <a:prstGeom prst="rect">
                      <a:avLst/>
                    </a:prstGeom>
                    <a:noFill/>
                    <a:ln>
                      <a:noFill/>
                    </a:ln>
                  </pic:spPr>
                </pic:pic>
              </a:graphicData>
            </a:graphic>
          </wp:inline>
        </w:drawing>
      </w:r>
    </w:p>
    <w:p w14:paraId="1A78FCF8">
      <w:pPr>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片区范围示意图</w:t>
      </w:r>
    </w:p>
    <w:p w14:paraId="2EA381AE">
      <w:pPr>
        <w:ind w:firstLine="482"/>
        <w:jc w:val="center"/>
        <w:rPr>
          <w:rFonts w:hint="default" w:ascii="Times New Roman" w:hAnsi="Times New Roman" w:eastAsia="仿宋_GB2312" w:cs="Times New Roman"/>
          <w:b/>
          <w:bCs/>
          <w:sz w:val="24"/>
        </w:rPr>
        <w:sectPr>
          <w:pgSz w:w="11906" w:h="16838"/>
          <w:pgMar w:top="1440" w:right="1800" w:bottom="1440" w:left="1800" w:header="851" w:footer="992" w:gutter="0"/>
          <w:cols w:space="720" w:num="1"/>
          <w:docGrid w:type="lines" w:linePitch="312" w:charSpace="0"/>
        </w:sectPr>
      </w:pPr>
    </w:p>
    <w:p w14:paraId="75CF1931">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sz w:val="32"/>
          <w:szCs w:val="32"/>
          <w:lang w:val="en-US" w:eastAsia="zh-CN"/>
        </w:rPr>
        <w:t>片区土地利用现状</w:t>
      </w:r>
    </w:p>
    <w:p w14:paraId="1B277BD2">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武墩街道普墩工业</w:t>
      </w:r>
      <w:r>
        <w:rPr>
          <w:rFonts w:hint="default" w:ascii="Times New Roman" w:hAnsi="Times New Roman" w:eastAsia="方正仿宋_GBK" w:cs="Times New Roman"/>
          <w:sz w:val="32"/>
          <w:szCs w:val="32"/>
          <w:lang w:val="en-US" w:eastAsia="zh-CN"/>
        </w:rPr>
        <w:t>西</w:t>
      </w:r>
      <w:r>
        <w:rPr>
          <w:rFonts w:hint="default" w:ascii="Times New Roman" w:hAnsi="Times New Roman" w:eastAsia="方正仿宋_GBK" w:cs="Times New Roman"/>
          <w:sz w:val="32"/>
          <w:szCs w:val="32"/>
          <w:lang w:eastAsia="zh-CN"/>
        </w:rPr>
        <w:t>片区</w:t>
      </w:r>
      <w:r>
        <w:rPr>
          <w:rFonts w:hint="default" w:ascii="Times New Roman" w:hAnsi="Times New Roman" w:eastAsia="方正仿宋_GBK" w:cs="Times New Roman"/>
          <w:sz w:val="32"/>
          <w:szCs w:val="32"/>
        </w:rPr>
        <w:t>土地总面积为</w:t>
      </w:r>
      <w:r>
        <w:rPr>
          <w:rFonts w:hint="default" w:ascii="Times New Roman" w:hAnsi="Times New Roman" w:eastAsia="方正仿宋_GBK" w:cs="Times New Roman"/>
          <w:sz w:val="32"/>
          <w:szCs w:val="32"/>
          <w:lang w:eastAsia="zh-CN"/>
        </w:rPr>
        <w:t>1.1498</w:t>
      </w:r>
      <w:r>
        <w:rPr>
          <w:rFonts w:hint="default" w:ascii="Times New Roman" w:hAnsi="Times New Roman" w:eastAsia="方正仿宋_GBK" w:cs="Times New Roman"/>
          <w:sz w:val="32"/>
          <w:szCs w:val="32"/>
        </w:rPr>
        <w:t>公顷，根据</w:t>
      </w:r>
      <w:r>
        <w:rPr>
          <w:rFonts w:hint="default" w:ascii="Times New Roman" w:hAnsi="Times New Roman" w:eastAsia="方正仿宋_GBK" w:cs="Times New Roman"/>
          <w:sz w:val="32"/>
          <w:szCs w:val="32"/>
          <w:lang w:val="en-US" w:eastAsia="zh-CN"/>
        </w:rPr>
        <w:t>清江浦区</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年度国土变更调查成果分析，其中：农用地面积为0.0685公顷，占土地总面积的</w:t>
      </w:r>
      <w:r>
        <w:rPr>
          <w:rFonts w:hint="default" w:ascii="Times New Roman" w:hAnsi="Times New Roman" w:eastAsia="方正仿宋_GBK" w:cs="Times New Roman"/>
          <w:sz w:val="32"/>
          <w:szCs w:val="32"/>
          <w:lang w:val="en-US" w:eastAsia="zh-CN"/>
        </w:rPr>
        <w:t>5.96</w:t>
      </w:r>
      <w:r>
        <w:rPr>
          <w:rFonts w:hint="default" w:ascii="Times New Roman" w:hAnsi="Times New Roman" w:eastAsia="方正仿宋_GBK" w:cs="Times New Roman"/>
          <w:sz w:val="32"/>
          <w:szCs w:val="32"/>
        </w:rPr>
        <w:t>%；建设用地面积为</w:t>
      </w:r>
      <w:r>
        <w:rPr>
          <w:rFonts w:hint="default" w:ascii="Times New Roman" w:hAnsi="Times New Roman" w:eastAsia="方正仿宋_GBK" w:cs="Times New Roman"/>
          <w:sz w:val="32"/>
          <w:szCs w:val="32"/>
          <w:lang w:val="en-US" w:eastAsia="zh-CN"/>
        </w:rPr>
        <w:t>1.0813</w:t>
      </w:r>
      <w:r>
        <w:rPr>
          <w:rFonts w:hint="default" w:ascii="Times New Roman" w:hAnsi="Times New Roman" w:eastAsia="方正仿宋_GBK" w:cs="Times New Roman"/>
          <w:sz w:val="32"/>
          <w:szCs w:val="32"/>
        </w:rPr>
        <w:t>公顷，占土地总面积的</w:t>
      </w:r>
      <w:r>
        <w:rPr>
          <w:rFonts w:hint="default" w:ascii="Times New Roman" w:hAnsi="Times New Roman" w:eastAsia="方正仿宋_GBK" w:cs="Times New Roman"/>
          <w:sz w:val="32"/>
          <w:szCs w:val="32"/>
          <w:lang w:val="en-US" w:eastAsia="zh-CN"/>
        </w:rPr>
        <w:t>94.04</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不涉及</w:t>
      </w:r>
      <w:r>
        <w:rPr>
          <w:rFonts w:hint="default" w:ascii="Times New Roman" w:hAnsi="Times New Roman" w:eastAsia="方正仿宋_GBK" w:cs="Times New Roman"/>
          <w:sz w:val="32"/>
          <w:szCs w:val="32"/>
        </w:rPr>
        <w:t>未利用地。</w:t>
      </w:r>
    </w:p>
    <w:p w14:paraId="2F24E549">
      <w:pPr>
        <w:ind w:left="0" w:leftChars="0" w:firstLine="0" w:firstLineChars="0"/>
        <w:jc w:val="center"/>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4"/>
          <w:szCs w:val="24"/>
          <w:lang w:val="en-US" w:eastAsia="zh-CN"/>
        </w:rPr>
        <w:t>片区土地利用现状表</w:t>
      </w:r>
    </w:p>
    <w:p w14:paraId="46B8D118">
      <w:pPr>
        <w:ind w:firstLine="600"/>
        <w:jc w:val="right"/>
        <w:rPr>
          <w:rFonts w:hint="default" w:ascii="Times New Roman" w:hAnsi="Times New Roman" w:eastAsia="仿宋_GB2312" w:cs="Times New Roman"/>
          <w:b/>
          <w:bCs/>
          <w:sz w:val="24"/>
          <w:szCs w:val="24"/>
          <w:lang w:val="en-US" w:eastAsia="zh-CN"/>
        </w:rPr>
      </w:pPr>
      <w:r>
        <w:rPr>
          <w:rFonts w:hint="default" w:ascii="Times New Roman" w:hAnsi="Times New Roman" w:eastAsia="仿宋_GB2312" w:cs="Times New Roman"/>
          <w:b/>
          <w:bCs/>
          <w:sz w:val="24"/>
          <w:szCs w:val="24"/>
          <w:lang w:val="en-US" w:eastAsia="zh-CN"/>
        </w:rPr>
        <w:t>单位：公顷，%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682B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8" w:type="dxa"/>
            <w:gridSpan w:val="2"/>
            <w:vAlign w:val="center"/>
          </w:tcPr>
          <w:p w14:paraId="09C3A9C3">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地类</w:t>
            </w:r>
          </w:p>
        </w:tc>
        <w:tc>
          <w:tcPr>
            <w:tcW w:w="1704" w:type="dxa"/>
            <w:vAlign w:val="center"/>
          </w:tcPr>
          <w:p w14:paraId="5F63A09E">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面积</w:t>
            </w:r>
          </w:p>
        </w:tc>
        <w:tc>
          <w:tcPr>
            <w:tcW w:w="1705" w:type="dxa"/>
            <w:vAlign w:val="center"/>
          </w:tcPr>
          <w:p w14:paraId="06CEB12E">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小计</w:t>
            </w:r>
          </w:p>
        </w:tc>
        <w:tc>
          <w:tcPr>
            <w:tcW w:w="1705" w:type="dxa"/>
            <w:vAlign w:val="center"/>
          </w:tcPr>
          <w:p w14:paraId="37C432FB">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占比</w:t>
            </w:r>
          </w:p>
        </w:tc>
      </w:tr>
      <w:tr w14:paraId="7498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233C9817">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农用地</w:t>
            </w:r>
          </w:p>
        </w:tc>
        <w:tc>
          <w:tcPr>
            <w:tcW w:w="1704" w:type="dxa"/>
            <w:vAlign w:val="center"/>
          </w:tcPr>
          <w:p w14:paraId="25C97C50">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草地</w:t>
            </w:r>
          </w:p>
        </w:tc>
        <w:tc>
          <w:tcPr>
            <w:tcW w:w="1704" w:type="dxa"/>
            <w:shd w:val="clear" w:color="auto" w:fill="auto"/>
            <w:vAlign w:val="center"/>
          </w:tcPr>
          <w:p w14:paraId="4D47AEB8">
            <w:pPr>
              <w:keepNext w:val="0"/>
              <w:keepLines w:val="0"/>
              <w:widowControl/>
              <w:suppressLineNumbers w:val="0"/>
              <w:ind w:firstLine="480" w:firstLineChars="200"/>
              <w:jc w:val="both"/>
              <w:textAlignment w:val="bottom"/>
              <w:rPr>
                <w:rFonts w:hint="default" w:ascii="Times New Roman" w:hAnsi="Times New Roman" w:eastAsia="宋体" w:cs="Times New Roman"/>
                <w:b w:val="0"/>
                <w:bCs w:val="0"/>
                <w:i w:val="0"/>
                <w:iCs w:val="0"/>
                <w:color w:val="000000"/>
                <w:kern w:val="0"/>
                <w:sz w:val="24"/>
                <w:szCs w:val="24"/>
                <w:u w:val="none"/>
                <w:lang w:val="en-US" w:eastAsia="zh-CN" w:bidi="ar"/>
              </w:rPr>
            </w:pPr>
            <w:r>
              <w:rPr>
                <w:rFonts w:hint="default" w:ascii="Times New Roman" w:hAnsi="Times New Roman" w:eastAsia="宋体" w:cs="Times New Roman"/>
                <w:b w:val="0"/>
                <w:bCs w:val="0"/>
                <w:i w:val="0"/>
                <w:iCs w:val="0"/>
                <w:color w:val="000000"/>
                <w:kern w:val="0"/>
                <w:sz w:val="24"/>
                <w:szCs w:val="24"/>
                <w:u w:val="none"/>
                <w:lang w:val="en-US" w:eastAsia="zh-CN" w:bidi="ar"/>
              </w:rPr>
              <w:t>0.0423</w:t>
            </w:r>
          </w:p>
        </w:tc>
        <w:tc>
          <w:tcPr>
            <w:tcW w:w="1705" w:type="dxa"/>
            <w:vMerge w:val="restart"/>
            <w:vAlign w:val="center"/>
          </w:tcPr>
          <w:p w14:paraId="754A803D">
            <w:pPr>
              <w:keepNext w:val="0"/>
              <w:keepLines w:val="0"/>
              <w:widowControl/>
              <w:suppressLineNumbers w:val="0"/>
              <w:ind w:firstLine="480" w:firstLineChars="200"/>
              <w:jc w:val="both"/>
              <w:textAlignment w:val="bottom"/>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0.0685</w:t>
            </w:r>
          </w:p>
        </w:tc>
        <w:tc>
          <w:tcPr>
            <w:tcW w:w="1705" w:type="dxa"/>
            <w:vMerge w:val="restart"/>
            <w:vAlign w:val="center"/>
          </w:tcPr>
          <w:p w14:paraId="2E87A90E">
            <w:pPr>
              <w:keepNext w:val="0"/>
              <w:keepLines w:val="0"/>
              <w:widowControl/>
              <w:suppressLineNumbers w:val="0"/>
              <w:ind w:firstLine="480" w:firstLineChars="200"/>
              <w:jc w:val="both"/>
              <w:textAlignment w:val="bottom"/>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cs="Times New Roman"/>
                <w:b w:val="0"/>
                <w:bCs w:val="0"/>
                <w:i w:val="0"/>
                <w:iCs w:val="0"/>
                <w:color w:val="000000"/>
                <w:kern w:val="0"/>
                <w:sz w:val="24"/>
                <w:szCs w:val="24"/>
                <w:u w:val="none"/>
                <w:lang w:val="en-US" w:eastAsia="zh-CN" w:bidi="ar"/>
              </w:rPr>
              <w:t>5.96</w:t>
            </w:r>
          </w:p>
        </w:tc>
      </w:tr>
      <w:tr w14:paraId="2BF3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698DAF69">
            <w:pPr>
              <w:widowControl w:val="0"/>
              <w:jc w:val="center"/>
              <w:rPr>
                <w:rFonts w:hint="default" w:ascii="Times New Roman" w:hAnsi="Times New Roman" w:eastAsia="仿宋_GB2312" w:cs="Times New Roman"/>
                <w:b w:val="0"/>
                <w:bCs w:val="0"/>
                <w:sz w:val="24"/>
                <w:szCs w:val="24"/>
                <w:vertAlign w:val="baseline"/>
                <w:lang w:val="en-US" w:eastAsia="zh-CN"/>
              </w:rPr>
            </w:pPr>
          </w:p>
        </w:tc>
        <w:tc>
          <w:tcPr>
            <w:tcW w:w="1704" w:type="dxa"/>
            <w:vAlign w:val="center"/>
          </w:tcPr>
          <w:p w14:paraId="4E924E9C">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其他农用地</w:t>
            </w:r>
          </w:p>
        </w:tc>
        <w:tc>
          <w:tcPr>
            <w:tcW w:w="1704" w:type="dxa"/>
            <w:shd w:val="clear" w:color="auto" w:fill="auto"/>
            <w:vAlign w:val="center"/>
          </w:tcPr>
          <w:p w14:paraId="3B4BF535">
            <w:pPr>
              <w:keepNext w:val="0"/>
              <w:keepLines w:val="0"/>
              <w:widowControl/>
              <w:suppressLineNumbers w:val="0"/>
              <w:ind w:firstLine="480" w:firstLineChars="200"/>
              <w:jc w:val="both"/>
              <w:textAlignment w:val="bottom"/>
              <w:rPr>
                <w:rFonts w:hint="default" w:ascii="Times New Roman" w:hAnsi="Times New Roman" w:eastAsia="宋体" w:cs="Times New Roman"/>
                <w:b w:val="0"/>
                <w:bCs w:val="0"/>
                <w:i w:val="0"/>
                <w:iCs w:val="0"/>
                <w:color w:val="000000"/>
                <w:kern w:val="0"/>
                <w:sz w:val="24"/>
                <w:szCs w:val="24"/>
                <w:u w:val="none"/>
                <w:lang w:val="en-US" w:eastAsia="zh-CN" w:bidi="ar"/>
              </w:rPr>
            </w:pPr>
            <w:r>
              <w:rPr>
                <w:rFonts w:hint="default" w:ascii="Times New Roman" w:hAnsi="Times New Roman" w:eastAsia="宋体" w:cs="Times New Roman"/>
                <w:b w:val="0"/>
                <w:bCs w:val="0"/>
                <w:i w:val="0"/>
                <w:iCs w:val="0"/>
                <w:color w:val="000000"/>
                <w:kern w:val="0"/>
                <w:sz w:val="24"/>
                <w:szCs w:val="24"/>
                <w:u w:val="none"/>
                <w:lang w:val="en-US" w:eastAsia="zh-CN" w:bidi="ar"/>
              </w:rPr>
              <w:t>0.0262</w:t>
            </w:r>
          </w:p>
        </w:tc>
        <w:tc>
          <w:tcPr>
            <w:tcW w:w="1705" w:type="dxa"/>
            <w:vMerge w:val="continue"/>
            <w:vAlign w:val="center"/>
          </w:tcPr>
          <w:p w14:paraId="2D705B06">
            <w:pPr>
              <w:widowControl w:val="0"/>
              <w:jc w:val="both"/>
              <w:rPr>
                <w:rFonts w:hint="default" w:ascii="Times New Roman" w:hAnsi="Times New Roman" w:eastAsia="仿宋_GB2312" w:cs="Times New Roman"/>
                <w:b w:val="0"/>
                <w:bCs w:val="0"/>
                <w:sz w:val="24"/>
                <w:szCs w:val="24"/>
                <w:vertAlign w:val="baseline"/>
                <w:lang w:val="en-US" w:eastAsia="zh-CN"/>
              </w:rPr>
            </w:pPr>
          </w:p>
        </w:tc>
        <w:tc>
          <w:tcPr>
            <w:tcW w:w="1705" w:type="dxa"/>
            <w:vMerge w:val="continue"/>
            <w:vAlign w:val="center"/>
          </w:tcPr>
          <w:p w14:paraId="3C92E69A">
            <w:pPr>
              <w:widowControl w:val="0"/>
              <w:jc w:val="both"/>
              <w:rPr>
                <w:rFonts w:hint="default" w:ascii="Times New Roman" w:hAnsi="Times New Roman" w:eastAsia="仿宋_GB2312" w:cs="Times New Roman"/>
                <w:b w:val="0"/>
                <w:bCs w:val="0"/>
                <w:sz w:val="24"/>
                <w:szCs w:val="24"/>
                <w:vertAlign w:val="baseline"/>
                <w:lang w:val="en-US" w:eastAsia="zh-CN"/>
              </w:rPr>
            </w:pPr>
          </w:p>
        </w:tc>
      </w:tr>
      <w:tr w14:paraId="4400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418D9497">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建设用地</w:t>
            </w:r>
          </w:p>
        </w:tc>
        <w:tc>
          <w:tcPr>
            <w:tcW w:w="1704" w:type="dxa"/>
            <w:vAlign w:val="center"/>
          </w:tcPr>
          <w:p w14:paraId="3945D13F">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工矿用地</w:t>
            </w:r>
          </w:p>
        </w:tc>
        <w:tc>
          <w:tcPr>
            <w:tcW w:w="1704" w:type="dxa"/>
            <w:shd w:val="clear" w:color="auto" w:fill="auto"/>
            <w:vAlign w:val="center"/>
          </w:tcPr>
          <w:p w14:paraId="0B99654A">
            <w:pPr>
              <w:keepNext w:val="0"/>
              <w:keepLines w:val="0"/>
              <w:widowControl/>
              <w:suppressLineNumbers w:val="0"/>
              <w:ind w:firstLine="480" w:firstLineChars="200"/>
              <w:jc w:val="both"/>
              <w:textAlignment w:val="bottom"/>
              <w:rPr>
                <w:rFonts w:hint="default" w:ascii="Times New Roman" w:hAnsi="Times New Roman" w:eastAsia="宋体" w:cs="Times New Roman"/>
                <w:b w:val="0"/>
                <w:bCs w:val="0"/>
                <w:i w:val="0"/>
                <w:iCs w:val="0"/>
                <w:color w:val="000000"/>
                <w:kern w:val="0"/>
                <w:sz w:val="24"/>
                <w:szCs w:val="24"/>
                <w:u w:val="none"/>
                <w:lang w:val="en-US" w:eastAsia="zh-CN" w:bidi="ar"/>
              </w:rPr>
            </w:pPr>
            <w:r>
              <w:rPr>
                <w:rFonts w:hint="default" w:ascii="Times New Roman" w:hAnsi="Times New Roman" w:eastAsia="宋体" w:cs="Times New Roman"/>
                <w:b w:val="0"/>
                <w:bCs w:val="0"/>
                <w:i w:val="0"/>
                <w:iCs w:val="0"/>
                <w:color w:val="000000"/>
                <w:kern w:val="0"/>
                <w:sz w:val="24"/>
                <w:szCs w:val="24"/>
                <w:u w:val="none"/>
                <w:lang w:val="en-US" w:eastAsia="zh-CN" w:bidi="ar"/>
              </w:rPr>
              <w:t>0.943</w:t>
            </w:r>
            <w:r>
              <w:rPr>
                <w:rFonts w:hint="default" w:ascii="Times New Roman" w:hAnsi="Times New Roman" w:cs="Times New Roman"/>
                <w:b w:val="0"/>
                <w:bCs w:val="0"/>
                <w:i w:val="0"/>
                <w:iCs w:val="0"/>
                <w:color w:val="000000"/>
                <w:kern w:val="0"/>
                <w:sz w:val="24"/>
                <w:szCs w:val="24"/>
                <w:u w:val="none"/>
                <w:lang w:val="en-US" w:eastAsia="zh-CN" w:bidi="ar"/>
              </w:rPr>
              <w:t>1</w:t>
            </w:r>
          </w:p>
        </w:tc>
        <w:tc>
          <w:tcPr>
            <w:tcW w:w="1705" w:type="dxa"/>
            <w:vMerge w:val="restart"/>
            <w:vAlign w:val="center"/>
          </w:tcPr>
          <w:p w14:paraId="2CC72590">
            <w:pPr>
              <w:keepNext w:val="0"/>
              <w:keepLines w:val="0"/>
              <w:widowControl/>
              <w:suppressLineNumbers w:val="0"/>
              <w:ind w:firstLine="480" w:firstLineChars="200"/>
              <w:jc w:val="both"/>
              <w:textAlignment w:val="bottom"/>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1.0813</w:t>
            </w:r>
          </w:p>
        </w:tc>
        <w:tc>
          <w:tcPr>
            <w:tcW w:w="1705" w:type="dxa"/>
            <w:vMerge w:val="restart"/>
            <w:vAlign w:val="center"/>
          </w:tcPr>
          <w:p w14:paraId="5FE38C6D">
            <w:pPr>
              <w:keepNext w:val="0"/>
              <w:keepLines w:val="0"/>
              <w:widowControl/>
              <w:suppressLineNumbers w:val="0"/>
              <w:ind w:firstLine="480" w:firstLineChars="200"/>
              <w:jc w:val="both"/>
              <w:textAlignment w:val="bottom"/>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cs="Times New Roman"/>
                <w:b w:val="0"/>
                <w:bCs w:val="0"/>
                <w:i w:val="0"/>
                <w:iCs w:val="0"/>
                <w:color w:val="000000"/>
                <w:kern w:val="0"/>
                <w:sz w:val="24"/>
                <w:szCs w:val="24"/>
                <w:u w:val="none"/>
                <w:lang w:val="en-US" w:eastAsia="zh-CN" w:bidi="ar"/>
              </w:rPr>
              <w:t>94.04</w:t>
            </w:r>
          </w:p>
        </w:tc>
      </w:tr>
      <w:tr w14:paraId="338C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711B5AA6">
            <w:pPr>
              <w:widowControl w:val="0"/>
              <w:jc w:val="center"/>
              <w:rPr>
                <w:rFonts w:hint="default" w:ascii="Times New Roman" w:hAnsi="Times New Roman" w:eastAsia="仿宋_GB2312" w:cs="Times New Roman"/>
                <w:b w:val="0"/>
                <w:bCs w:val="0"/>
                <w:sz w:val="24"/>
                <w:szCs w:val="24"/>
                <w:vertAlign w:val="baseline"/>
                <w:lang w:val="en-US" w:eastAsia="zh-CN"/>
              </w:rPr>
            </w:pPr>
          </w:p>
        </w:tc>
        <w:tc>
          <w:tcPr>
            <w:tcW w:w="1704" w:type="dxa"/>
            <w:vAlign w:val="center"/>
          </w:tcPr>
          <w:p w14:paraId="2462E82F">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交通运输用地</w:t>
            </w:r>
          </w:p>
        </w:tc>
        <w:tc>
          <w:tcPr>
            <w:tcW w:w="1704" w:type="dxa"/>
            <w:shd w:val="clear" w:color="auto" w:fill="auto"/>
            <w:vAlign w:val="center"/>
          </w:tcPr>
          <w:p w14:paraId="70C93195">
            <w:pPr>
              <w:keepNext w:val="0"/>
              <w:keepLines w:val="0"/>
              <w:widowControl/>
              <w:suppressLineNumbers w:val="0"/>
              <w:ind w:firstLine="480" w:firstLineChars="200"/>
              <w:jc w:val="both"/>
              <w:textAlignment w:val="bottom"/>
              <w:rPr>
                <w:rFonts w:hint="default" w:ascii="Times New Roman" w:hAnsi="Times New Roman" w:eastAsia="宋体" w:cs="Times New Roman"/>
                <w:b w:val="0"/>
                <w:bCs w:val="0"/>
                <w:i w:val="0"/>
                <w:iCs w:val="0"/>
                <w:color w:val="000000"/>
                <w:kern w:val="0"/>
                <w:sz w:val="24"/>
                <w:szCs w:val="24"/>
                <w:u w:val="none"/>
                <w:lang w:val="en-US" w:eastAsia="zh-CN" w:bidi="ar"/>
              </w:rPr>
            </w:pPr>
            <w:r>
              <w:rPr>
                <w:rFonts w:hint="default" w:ascii="Times New Roman" w:hAnsi="Times New Roman" w:eastAsia="宋体" w:cs="Times New Roman"/>
                <w:b w:val="0"/>
                <w:bCs w:val="0"/>
                <w:i w:val="0"/>
                <w:iCs w:val="0"/>
                <w:color w:val="000000"/>
                <w:kern w:val="0"/>
                <w:sz w:val="24"/>
                <w:szCs w:val="24"/>
                <w:u w:val="none"/>
                <w:lang w:val="en-US" w:eastAsia="zh-CN" w:bidi="ar"/>
              </w:rPr>
              <w:t>0.1382</w:t>
            </w:r>
          </w:p>
        </w:tc>
        <w:tc>
          <w:tcPr>
            <w:tcW w:w="1705" w:type="dxa"/>
            <w:vMerge w:val="continue"/>
            <w:vAlign w:val="center"/>
          </w:tcPr>
          <w:p w14:paraId="1B772EE1">
            <w:pPr>
              <w:widowControl w:val="0"/>
              <w:jc w:val="both"/>
              <w:rPr>
                <w:rFonts w:hint="default" w:ascii="Times New Roman" w:hAnsi="Times New Roman" w:eastAsia="仿宋_GB2312" w:cs="Times New Roman"/>
                <w:b w:val="0"/>
                <w:bCs w:val="0"/>
                <w:sz w:val="24"/>
                <w:szCs w:val="24"/>
                <w:vertAlign w:val="baseline"/>
                <w:lang w:val="en-US" w:eastAsia="zh-CN"/>
              </w:rPr>
            </w:pPr>
          </w:p>
        </w:tc>
        <w:tc>
          <w:tcPr>
            <w:tcW w:w="1705" w:type="dxa"/>
            <w:vMerge w:val="continue"/>
            <w:vAlign w:val="center"/>
          </w:tcPr>
          <w:p w14:paraId="52D61437">
            <w:pPr>
              <w:widowControl w:val="0"/>
              <w:jc w:val="both"/>
              <w:rPr>
                <w:rFonts w:hint="default" w:ascii="Times New Roman" w:hAnsi="Times New Roman" w:eastAsia="仿宋_GB2312" w:cs="Times New Roman"/>
                <w:b w:val="0"/>
                <w:bCs w:val="0"/>
                <w:sz w:val="24"/>
                <w:szCs w:val="24"/>
                <w:vertAlign w:val="baseline"/>
                <w:lang w:val="en-US" w:eastAsia="zh-CN"/>
              </w:rPr>
            </w:pPr>
          </w:p>
        </w:tc>
      </w:tr>
      <w:tr w14:paraId="595C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8" w:type="dxa"/>
            <w:gridSpan w:val="2"/>
            <w:vAlign w:val="center"/>
          </w:tcPr>
          <w:p w14:paraId="612DDF3B">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合计</w:t>
            </w:r>
          </w:p>
        </w:tc>
        <w:tc>
          <w:tcPr>
            <w:tcW w:w="1704" w:type="dxa"/>
            <w:vAlign w:val="center"/>
          </w:tcPr>
          <w:p w14:paraId="4FDC94B9">
            <w:pPr>
              <w:keepNext w:val="0"/>
              <w:keepLines w:val="0"/>
              <w:widowControl/>
              <w:suppressLineNumbers w:val="0"/>
              <w:ind w:firstLine="480" w:firstLineChars="200"/>
              <w:jc w:val="both"/>
              <w:textAlignment w:val="bottom"/>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cs="Times New Roman"/>
                <w:b w:val="0"/>
                <w:bCs w:val="0"/>
                <w:i w:val="0"/>
                <w:iCs w:val="0"/>
                <w:color w:val="000000"/>
                <w:kern w:val="0"/>
                <w:sz w:val="24"/>
                <w:szCs w:val="24"/>
                <w:u w:val="none"/>
                <w:lang w:val="en-US" w:eastAsia="zh-CN" w:bidi="ar"/>
              </w:rPr>
              <w:t>1.1498</w:t>
            </w:r>
          </w:p>
        </w:tc>
        <w:tc>
          <w:tcPr>
            <w:tcW w:w="1705" w:type="dxa"/>
            <w:vAlign w:val="center"/>
          </w:tcPr>
          <w:p w14:paraId="51990E77">
            <w:pPr>
              <w:keepNext w:val="0"/>
              <w:keepLines w:val="0"/>
              <w:widowControl/>
              <w:suppressLineNumbers w:val="0"/>
              <w:ind w:firstLine="480" w:firstLineChars="200"/>
              <w:jc w:val="both"/>
              <w:textAlignment w:val="bottom"/>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cs="Times New Roman"/>
                <w:b w:val="0"/>
                <w:bCs w:val="0"/>
                <w:i w:val="0"/>
                <w:iCs w:val="0"/>
                <w:color w:val="000000"/>
                <w:kern w:val="0"/>
                <w:sz w:val="24"/>
                <w:szCs w:val="24"/>
                <w:u w:val="none"/>
                <w:lang w:val="en-US" w:eastAsia="zh-CN" w:bidi="ar"/>
              </w:rPr>
              <w:t>1.1498</w:t>
            </w:r>
          </w:p>
        </w:tc>
        <w:tc>
          <w:tcPr>
            <w:tcW w:w="1705" w:type="dxa"/>
            <w:vAlign w:val="center"/>
          </w:tcPr>
          <w:p w14:paraId="3EFE03D5">
            <w:pPr>
              <w:keepNext w:val="0"/>
              <w:keepLines w:val="0"/>
              <w:widowControl/>
              <w:suppressLineNumbers w:val="0"/>
              <w:ind w:firstLine="480" w:firstLineChars="200"/>
              <w:jc w:val="both"/>
              <w:textAlignment w:val="bottom"/>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宋体" w:cs="Times New Roman"/>
                <w:b w:val="0"/>
                <w:bCs w:val="0"/>
                <w:i w:val="0"/>
                <w:iCs w:val="0"/>
                <w:color w:val="000000"/>
                <w:kern w:val="0"/>
                <w:sz w:val="24"/>
                <w:szCs w:val="24"/>
                <w:u w:val="none"/>
                <w:lang w:val="en-US" w:eastAsia="zh-CN" w:bidi="ar"/>
              </w:rPr>
              <w:t>100.00</w:t>
            </w:r>
          </w:p>
        </w:tc>
      </w:tr>
    </w:tbl>
    <w:p w14:paraId="3C08ED24">
      <w:pPr>
        <w:ind w:left="0" w:leftChars="0" w:firstLine="0" w:firstLineChars="0"/>
        <w:jc w:val="both"/>
        <w:rPr>
          <w:rFonts w:hint="default" w:ascii="Times New Roman" w:hAnsi="Times New Roman" w:eastAsia="仿宋_GB2312" w:cs="Times New Roman"/>
          <w:b/>
          <w:bCs/>
          <w:sz w:val="24"/>
          <w:szCs w:val="24"/>
          <w:lang w:val="en-US" w:eastAsia="zh-CN"/>
        </w:rPr>
      </w:pPr>
    </w:p>
    <w:p w14:paraId="0CC3D7AD">
      <w:pPr>
        <w:ind w:left="0" w:leftChars="0" w:firstLine="0" w:firstLineChars="0"/>
        <w:jc w:val="both"/>
        <w:rPr>
          <w:rFonts w:hint="default" w:ascii="Times New Roman" w:hAnsi="Times New Roman" w:eastAsia="仿宋_GB2312" w:cs="Times New Roman"/>
          <w:b/>
          <w:bCs/>
          <w:sz w:val="24"/>
          <w:szCs w:val="24"/>
          <w:lang w:val="en-US" w:eastAsia="zh-CN"/>
        </w:rPr>
      </w:pPr>
      <w:r>
        <w:rPr>
          <w:rFonts w:hint="default" w:ascii="Times New Roman" w:hAnsi="Times New Roman" w:eastAsia="仿宋_GB2312" w:cs="Times New Roman"/>
          <w:b/>
          <w:bCs/>
          <w:sz w:val="24"/>
          <w:szCs w:val="24"/>
          <w:lang w:val="en-US" w:eastAsia="zh-CN"/>
        </w:rPr>
        <w:drawing>
          <wp:inline distT="0" distB="0" distL="114300" distR="114300">
            <wp:extent cx="5259705" cy="4260215"/>
            <wp:effectExtent l="0" t="0" r="17145" b="6985"/>
            <wp:docPr id="5" name="图片 5" descr="C:/Users/Administrator/Desktop/淮安成片开发.jpg淮安成片开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淮安成片开发.jpg淮安成片开发"/>
                    <pic:cNvPicPr>
                      <a:picLocks noChangeAspect="1"/>
                    </pic:cNvPicPr>
                  </pic:nvPicPr>
                  <pic:blipFill>
                    <a:blip r:embed="rId7"/>
                    <a:srcRect t="42" b="42"/>
                    <a:stretch>
                      <a:fillRect/>
                    </a:stretch>
                  </pic:blipFill>
                  <pic:spPr>
                    <a:xfrm>
                      <a:off x="0" y="0"/>
                      <a:ext cx="5259705" cy="4260215"/>
                    </a:xfrm>
                    <a:prstGeom prst="rect">
                      <a:avLst/>
                    </a:prstGeom>
                  </pic:spPr>
                </pic:pic>
              </a:graphicData>
            </a:graphic>
          </wp:inline>
        </w:drawing>
      </w:r>
    </w:p>
    <w:p w14:paraId="6D7C8993">
      <w:pPr>
        <w:ind w:left="0" w:leftChars="0" w:firstLine="0" w:firstLineChars="0"/>
        <w:jc w:val="center"/>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仿宋_GB2312" w:cs="Times New Roman"/>
          <w:b/>
          <w:bCs/>
          <w:sz w:val="24"/>
          <w:szCs w:val="24"/>
          <w:lang w:val="en-US" w:eastAsia="zh-CN"/>
        </w:rPr>
        <w:t>片区土地利用现图</w:t>
      </w:r>
    </w:p>
    <w:p w14:paraId="65A6762E">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highlight w:val="none"/>
          <w:lang w:val="en-US" w:eastAsia="zh-CN"/>
        </w:rPr>
      </w:pPr>
    </w:p>
    <w:p w14:paraId="52AB58E5">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3</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sz w:val="32"/>
          <w:szCs w:val="32"/>
          <w:highlight w:val="none"/>
          <w:lang w:val="en-US" w:eastAsia="zh-CN"/>
        </w:rPr>
        <w:t>权属状况</w:t>
      </w:r>
    </w:p>
    <w:p w14:paraId="7C9C5355">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根据清江浦区2024年度国土变更调查成果，并结合历年土地征收、土地权属等数据分析，本片区总面积</w:t>
      </w:r>
      <w:r>
        <w:rPr>
          <w:rFonts w:hint="default" w:ascii="Times New Roman" w:hAnsi="Times New Roman" w:eastAsia="方正仿宋_GBK" w:cs="Times New Roman"/>
          <w:sz w:val="32"/>
          <w:szCs w:val="32"/>
          <w:highlight w:val="none"/>
          <w:lang w:eastAsia="zh-CN"/>
        </w:rPr>
        <w:t>1.1498</w:t>
      </w:r>
      <w:r>
        <w:rPr>
          <w:rFonts w:hint="default" w:ascii="Times New Roman" w:hAnsi="Times New Roman" w:eastAsia="方正仿宋_GBK" w:cs="Times New Roman"/>
          <w:sz w:val="32"/>
          <w:szCs w:val="32"/>
          <w:highlight w:val="none"/>
          <w:lang w:val="en-US" w:eastAsia="zh-CN"/>
        </w:rPr>
        <w:t>公顷，国有土地面积0.0041公顷，占比0.56%，集体土地面积</w:t>
      </w:r>
      <w:r>
        <w:rPr>
          <w:rFonts w:hint="default" w:ascii="Times New Roman" w:hAnsi="Times New Roman" w:eastAsia="方正仿宋_GBK" w:cs="Times New Roman"/>
          <w:sz w:val="32"/>
          <w:szCs w:val="32"/>
          <w:highlight w:val="none"/>
          <w:lang w:eastAsia="zh-CN"/>
        </w:rPr>
        <w:t>1.14</w:t>
      </w:r>
      <w:r>
        <w:rPr>
          <w:rFonts w:hint="default" w:ascii="Times New Roman" w:hAnsi="Times New Roman" w:eastAsia="方正仿宋_GBK" w:cs="Times New Roman"/>
          <w:sz w:val="32"/>
          <w:szCs w:val="32"/>
          <w:highlight w:val="none"/>
          <w:lang w:val="en-US" w:eastAsia="zh-CN"/>
        </w:rPr>
        <w:t>57公顷，占比99.64%，其中拟征收集体土地面积10.6328公顷，涉及武墩街道普墩村村民委员会农民集体、武墩街道普墩村村民委员会八组农民集体、武墩街道农民集体。权属清晰无争议。</w:t>
      </w:r>
    </w:p>
    <w:p w14:paraId="1F03351E">
      <w:pPr>
        <w:ind w:left="0" w:leftChars="0" w:firstLine="0" w:firstLineChars="0"/>
        <w:jc w:val="center"/>
        <w:rPr>
          <w:rFonts w:hint="default" w:ascii="Times New Roman" w:hAnsi="Times New Roman" w:eastAsia="仿宋_GB2312" w:cs="Times New Roman"/>
          <w:b/>
          <w:bCs/>
          <w:sz w:val="28"/>
          <w:szCs w:val="28"/>
          <w:highlight w:val="none"/>
          <w:lang w:val="en-US" w:eastAsia="zh-CN"/>
        </w:rPr>
      </w:pPr>
      <w:r>
        <w:rPr>
          <w:rFonts w:hint="default" w:ascii="Times New Roman" w:hAnsi="Times New Roman" w:eastAsia="仿宋_GB2312" w:cs="Times New Roman"/>
          <w:b/>
          <w:bCs/>
          <w:sz w:val="24"/>
          <w:szCs w:val="24"/>
          <w:highlight w:val="none"/>
          <w:lang w:val="en-US" w:eastAsia="zh-CN"/>
        </w:rPr>
        <w:t>片区权属状况表</w:t>
      </w:r>
    </w:p>
    <w:p w14:paraId="39AFDDA3">
      <w:pPr>
        <w:ind w:firstLine="600"/>
        <w:jc w:val="right"/>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单位：公顷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34A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0B012D97">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片区名称</w:t>
            </w:r>
          </w:p>
        </w:tc>
        <w:tc>
          <w:tcPr>
            <w:tcW w:w="2841" w:type="dxa"/>
            <w:vAlign w:val="center"/>
          </w:tcPr>
          <w:p w14:paraId="31AEA0E9">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权属类型</w:t>
            </w:r>
          </w:p>
        </w:tc>
        <w:tc>
          <w:tcPr>
            <w:tcW w:w="2841" w:type="dxa"/>
          </w:tcPr>
          <w:p w14:paraId="2ECF42AE">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面积</w:t>
            </w:r>
          </w:p>
        </w:tc>
      </w:tr>
      <w:tr w14:paraId="6244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14:paraId="4AEBAD3A">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武墩街道普墩工业西片区</w:t>
            </w:r>
          </w:p>
        </w:tc>
        <w:tc>
          <w:tcPr>
            <w:tcW w:w="2841" w:type="dxa"/>
            <w:vAlign w:val="center"/>
          </w:tcPr>
          <w:p w14:paraId="55559A94">
            <w:pPr>
              <w:widowControl w:val="0"/>
              <w:ind w:left="0" w:leftChars="0" w:firstLine="0" w:firstLineChars="0"/>
              <w:jc w:val="both"/>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国有土地</w:t>
            </w:r>
          </w:p>
        </w:tc>
        <w:tc>
          <w:tcPr>
            <w:tcW w:w="2841" w:type="dxa"/>
          </w:tcPr>
          <w:p w14:paraId="617F4113">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0.0041</w:t>
            </w:r>
          </w:p>
        </w:tc>
      </w:tr>
      <w:tr w14:paraId="1D2F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330413B8">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p>
        </w:tc>
        <w:tc>
          <w:tcPr>
            <w:tcW w:w="2841" w:type="dxa"/>
            <w:vAlign w:val="center"/>
          </w:tcPr>
          <w:p w14:paraId="7128D2A1">
            <w:pPr>
              <w:widowControl w:val="0"/>
              <w:ind w:left="0" w:leftChars="0" w:firstLine="0" w:firstLineChars="0"/>
              <w:jc w:val="both"/>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农村集体土地</w:t>
            </w:r>
          </w:p>
        </w:tc>
        <w:tc>
          <w:tcPr>
            <w:tcW w:w="2841" w:type="dxa"/>
          </w:tcPr>
          <w:p w14:paraId="43923ADB">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1.1457</w:t>
            </w:r>
          </w:p>
        </w:tc>
      </w:tr>
      <w:tr w14:paraId="50F9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4F03A36A">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p>
        </w:tc>
        <w:tc>
          <w:tcPr>
            <w:tcW w:w="2841" w:type="dxa"/>
            <w:vAlign w:val="center"/>
          </w:tcPr>
          <w:p w14:paraId="7EE52521">
            <w:pPr>
              <w:widowControl w:val="0"/>
              <w:ind w:left="0" w:leftChars="0" w:firstLine="0" w:firstLineChars="0"/>
              <w:jc w:val="both"/>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其中，拟征收集体土地</w:t>
            </w:r>
          </w:p>
        </w:tc>
        <w:tc>
          <w:tcPr>
            <w:tcW w:w="2841" w:type="dxa"/>
          </w:tcPr>
          <w:p w14:paraId="3F5B7C3D">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1.1457</w:t>
            </w:r>
          </w:p>
        </w:tc>
      </w:tr>
      <w:tr w14:paraId="26E2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5485735D">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p>
        </w:tc>
        <w:tc>
          <w:tcPr>
            <w:tcW w:w="2841" w:type="dxa"/>
            <w:vAlign w:val="center"/>
          </w:tcPr>
          <w:p w14:paraId="64E76955">
            <w:pPr>
              <w:widowControl w:val="0"/>
              <w:ind w:left="0" w:leftChars="0" w:firstLine="0" w:firstLineChars="0"/>
              <w:jc w:val="both"/>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已建或待建集体土地</w:t>
            </w:r>
          </w:p>
        </w:tc>
        <w:tc>
          <w:tcPr>
            <w:tcW w:w="2841" w:type="dxa"/>
          </w:tcPr>
          <w:p w14:paraId="379F8F6A">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0.0000</w:t>
            </w:r>
          </w:p>
        </w:tc>
      </w:tr>
      <w:tr w14:paraId="1A1F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1" w:type="dxa"/>
            <w:gridSpan w:val="2"/>
            <w:vAlign w:val="center"/>
          </w:tcPr>
          <w:p w14:paraId="420F3141">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合计</w:t>
            </w:r>
          </w:p>
        </w:tc>
        <w:tc>
          <w:tcPr>
            <w:tcW w:w="2841" w:type="dxa"/>
          </w:tcPr>
          <w:p w14:paraId="169C859B">
            <w:pPr>
              <w:widowControl w:val="0"/>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1.1498</w:t>
            </w:r>
          </w:p>
        </w:tc>
      </w:tr>
    </w:tbl>
    <w:p w14:paraId="1F757E4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kern w:val="2"/>
          <w:sz w:val="32"/>
          <w:szCs w:val="32"/>
          <w:lang w:val="en-US" w:eastAsia="zh-CN" w:bidi="ar-SA"/>
        </w:rPr>
        <w:t>（1）</w:t>
      </w:r>
      <w:r>
        <w:rPr>
          <w:rFonts w:hint="default" w:ascii="Times New Roman" w:hAnsi="Times New Roman" w:eastAsia="方正仿宋_GBK" w:cs="Times New Roman"/>
          <w:sz w:val="32"/>
          <w:szCs w:val="32"/>
          <w:highlight w:val="none"/>
          <w:lang w:val="en-US" w:eastAsia="zh-CN"/>
        </w:rPr>
        <w:t>拟征收集体土地情况</w:t>
      </w:r>
    </w:p>
    <w:p w14:paraId="541B2ADC">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拟征收集体土地中，涉及农用地0.0685公顷、建设用地1.0772公顷，共计1.1457公顷。根据清江浦区人民政府批准的《淮</w:t>
      </w:r>
      <w:r>
        <w:rPr>
          <w:rFonts w:hint="default" w:ascii="Times New Roman" w:hAnsi="Times New Roman" w:eastAsia="方正仿宋_GBK" w:cs="Times New Roman"/>
          <w:sz w:val="32"/>
          <w:szCs w:val="32"/>
          <w:highlight w:val="none"/>
        </w:rPr>
        <w:t>安市清江浦区武墩街道单元详细规划</w:t>
      </w:r>
      <w:r>
        <w:rPr>
          <w:rFonts w:hint="default" w:ascii="Times New Roman" w:hAnsi="Times New Roman" w:eastAsia="方正仿宋_GBK" w:cs="Times New Roman"/>
          <w:sz w:val="32"/>
          <w:szCs w:val="32"/>
          <w:highlight w:val="none"/>
          <w:lang w:val="en-US" w:eastAsia="zh-CN"/>
        </w:rPr>
        <w:t>》确定的规划用途，其中交通运输用地0.2299公顷、工矿用地0.9158公顷。</w:t>
      </w:r>
    </w:p>
    <w:p w14:paraId="7D773591">
      <w:pPr>
        <w:ind w:left="0" w:leftChars="0" w:firstLine="0" w:firstLineChars="0"/>
        <w:jc w:val="center"/>
        <w:rPr>
          <w:rFonts w:hint="default" w:ascii="Times New Roman" w:hAnsi="Times New Roman" w:eastAsia="仿宋_GB2312" w:cs="Times New Roman"/>
          <w:b/>
          <w:bCs/>
          <w:sz w:val="28"/>
          <w:szCs w:val="28"/>
          <w:highlight w:val="none"/>
          <w:lang w:val="en-US" w:eastAsia="zh-CN"/>
        </w:rPr>
      </w:pPr>
      <w:r>
        <w:rPr>
          <w:rFonts w:hint="default" w:ascii="Times New Roman" w:hAnsi="Times New Roman" w:eastAsia="仿宋_GB2312" w:cs="Times New Roman"/>
          <w:b/>
          <w:bCs/>
          <w:sz w:val="24"/>
          <w:szCs w:val="24"/>
          <w:highlight w:val="none"/>
          <w:lang w:val="en-US" w:eastAsia="zh-CN"/>
        </w:rPr>
        <w:t>片区拟征收集体土地情况表</w:t>
      </w:r>
    </w:p>
    <w:p w14:paraId="603ADAB8">
      <w:pPr>
        <w:spacing w:line="580" w:lineRule="exact"/>
        <w:ind w:firstLine="600"/>
        <w:jc w:val="right"/>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b/>
          <w:bCs/>
          <w:sz w:val="24"/>
          <w:szCs w:val="24"/>
          <w:highlight w:val="none"/>
          <w:lang w:val="en-US" w:eastAsia="zh-CN"/>
        </w:rPr>
        <w:t>单位：公顷</w:t>
      </w:r>
    </w:p>
    <w:tbl>
      <w:tblPr>
        <w:tblStyle w:val="5"/>
        <w:tblW w:w="9531" w:type="dxa"/>
        <w:tblInd w:w="-63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46"/>
        <w:gridCol w:w="996"/>
        <w:gridCol w:w="996"/>
        <w:gridCol w:w="1126"/>
        <w:gridCol w:w="1218"/>
        <w:gridCol w:w="1463"/>
        <w:gridCol w:w="1246"/>
        <w:gridCol w:w="1240"/>
      </w:tblGrid>
      <w:tr w14:paraId="3DC85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B1D24">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片区名称</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DDA65">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集体土地面积</w:t>
            </w:r>
          </w:p>
        </w:tc>
        <w:tc>
          <w:tcPr>
            <w:tcW w:w="72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64B4A0">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其中，拟征收集体土地</w:t>
            </w:r>
          </w:p>
        </w:tc>
      </w:tr>
      <w:tr w14:paraId="0A6BE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B2CF9">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6F70A">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5DE24">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小计</w:t>
            </w:r>
          </w:p>
        </w:tc>
        <w:tc>
          <w:tcPr>
            <w:tcW w:w="38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B8589">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按土地利用现状</w:t>
            </w:r>
          </w:p>
        </w:tc>
        <w:tc>
          <w:tcPr>
            <w:tcW w:w="2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78D52">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按土地规划用途</w:t>
            </w:r>
          </w:p>
        </w:tc>
      </w:tr>
      <w:tr w14:paraId="18A01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C433E">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E4992">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84EAA">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2514B">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农用地</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B11C">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建设用地</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7D80">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未利用地</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09F1">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工矿用地</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AFC9">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交通运输用地</w:t>
            </w:r>
          </w:p>
        </w:tc>
      </w:tr>
      <w:tr w14:paraId="39296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598F">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武墩街道普墩工业西片区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35CE9">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1.1457</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0C2E">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1.1457</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64BC">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0.0685</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41E6">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1.0772</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BBDC">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 xml:space="preserve">0.0000 </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C496">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0.9158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3948">
            <w:pPr>
              <w:ind w:left="0" w:leftChars="0" w:firstLine="0" w:firstLineChars="0"/>
              <w:jc w:val="center"/>
              <w:rPr>
                <w:rFonts w:hint="default" w:ascii="Times New Roman" w:hAnsi="Times New Roman" w:eastAsia="仿宋_GB2312" w:cs="Times New Roman"/>
                <w:b w:val="0"/>
                <w:bCs w:val="0"/>
                <w:sz w:val="24"/>
                <w:szCs w:val="24"/>
                <w:highlight w:val="none"/>
                <w:vertAlign w:val="baseline"/>
                <w:lang w:val="en-US" w:eastAsia="zh-CN"/>
              </w:rPr>
            </w:pPr>
            <w:r>
              <w:rPr>
                <w:rFonts w:hint="default" w:ascii="Times New Roman" w:hAnsi="Times New Roman" w:eastAsia="仿宋_GB2312" w:cs="Times New Roman"/>
                <w:b w:val="0"/>
                <w:bCs w:val="0"/>
                <w:sz w:val="24"/>
                <w:szCs w:val="24"/>
                <w:highlight w:val="none"/>
                <w:vertAlign w:val="baseline"/>
                <w:lang w:val="en-US" w:eastAsia="zh-CN"/>
              </w:rPr>
              <w:t>0.2299</w:t>
            </w:r>
          </w:p>
        </w:tc>
      </w:tr>
    </w:tbl>
    <w:p w14:paraId="56F7258B">
      <w:pPr>
        <w:spacing w:line="580" w:lineRule="exact"/>
        <w:ind w:firstLine="600"/>
        <w:jc w:val="both"/>
        <w:rPr>
          <w:rFonts w:hint="default" w:ascii="Times New Roman" w:hAnsi="Times New Roman" w:eastAsia="方正仿宋_GBK" w:cs="Times New Roman"/>
          <w:b w:val="0"/>
          <w:bCs w:val="0"/>
          <w:sz w:val="32"/>
          <w:szCs w:val="32"/>
          <w:lang w:val="en-US" w:eastAsia="zh-CN"/>
        </w:rPr>
      </w:pPr>
    </w:p>
    <w:p w14:paraId="10C140FD">
      <w:pPr>
        <w:spacing w:line="580" w:lineRule="exact"/>
        <w:ind w:firstLine="600"/>
        <w:jc w:val="both"/>
        <w:rPr>
          <w:rFonts w:hint="default" w:ascii="Times New Roman" w:hAnsi="Times New Roman" w:eastAsia="方正仿宋_GBK" w:cs="Times New Roman"/>
          <w:b w:val="0"/>
          <w:bCs w:val="0"/>
          <w:sz w:val="32"/>
          <w:szCs w:val="32"/>
          <w:lang w:val="en-US" w:eastAsia="zh-CN"/>
        </w:rPr>
      </w:pPr>
      <w:bookmarkStart w:id="2" w:name="_GoBack"/>
      <w:bookmarkEnd w:id="2"/>
      <w:r>
        <w:rPr>
          <w:rFonts w:hint="default" w:ascii="Times New Roman" w:hAnsi="Times New Roman" w:eastAsia="方正仿宋_GBK" w:cs="Times New Roman"/>
          <w:b w:val="0"/>
          <w:bCs w:val="0"/>
          <w:sz w:val="32"/>
          <w:szCs w:val="32"/>
          <w:lang w:val="en-US" w:eastAsia="zh-CN"/>
        </w:rPr>
        <w:t>4</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sz w:val="32"/>
          <w:szCs w:val="32"/>
          <w:lang w:val="en-US" w:eastAsia="zh-CN"/>
        </w:rPr>
        <w:t>开发建设状况</w:t>
      </w:r>
    </w:p>
    <w:p w14:paraId="5D62F092">
      <w:pPr>
        <w:spacing w:line="580" w:lineRule="exact"/>
        <w:ind w:firstLine="600"/>
        <w:jc w:val="both"/>
        <w:rPr>
          <w:rFonts w:hint="default" w:ascii="Times New Roman" w:hAnsi="Times New Roman" w:eastAsia="仿宋_GB2312" w:cs="Times New Roman"/>
          <w:b/>
          <w:bCs/>
          <w:sz w:val="24"/>
          <w:szCs w:val="24"/>
          <w:lang w:val="en-US" w:eastAsia="zh-CN"/>
        </w:rPr>
      </w:pPr>
      <w:r>
        <w:rPr>
          <w:rFonts w:hint="default" w:ascii="Times New Roman" w:hAnsi="Times New Roman" w:eastAsia="方正仿宋_GBK" w:cs="Times New Roman"/>
          <w:b w:val="0"/>
          <w:bCs w:val="0"/>
          <w:sz w:val="32"/>
          <w:szCs w:val="32"/>
          <w:lang w:val="en-US" w:eastAsia="zh-CN"/>
        </w:rPr>
        <w:t>开发片区实际建设状况全部为规划建设，用地面积为1.1498公顷，占比100.00%。</w:t>
      </w:r>
    </w:p>
    <w:p w14:paraId="533AEA96">
      <w:pPr>
        <w:ind w:left="0" w:leftChars="0" w:firstLine="0" w:firstLineChars="0"/>
        <w:jc w:val="center"/>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4"/>
          <w:szCs w:val="24"/>
          <w:lang w:val="en-US" w:eastAsia="zh-CN"/>
        </w:rPr>
        <w:t>片区建设状况表</w:t>
      </w:r>
    </w:p>
    <w:p w14:paraId="2E9D587F">
      <w:pPr>
        <w:ind w:firstLine="600"/>
        <w:jc w:val="right"/>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b/>
          <w:bCs/>
          <w:sz w:val="24"/>
          <w:szCs w:val="24"/>
          <w:lang w:val="en-US" w:eastAsia="zh-CN"/>
        </w:rPr>
        <w:t>单位：公顷，%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874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86B4DC3">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建设状况</w:t>
            </w:r>
          </w:p>
        </w:tc>
        <w:tc>
          <w:tcPr>
            <w:tcW w:w="2841" w:type="dxa"/>
          </w:tcPr>
          <w:p w14:paraId="4150CABB">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面积</w:t>
            </w:r>
          </w:p>
        </w:tc>
        <w:tc>
          <w:tcPr>
            <w:tcW w:w="2841" w:type="dxa"/>
          </w:tcPr>
          <w:p w14:paraId="668CB969">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占比</w:t>
            </w:r>
          </w:p>
        </w:tc>
      </w:tr>
      <w:tr w14:paraId="39A4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5DBA741">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已建成</w:t>
            </w:r>
          </w:p>
        </w:tc>
        <w:tc>
          <w:tcPr>
            <w:tcW w:w="2841" w:type="dxa"/>
          </w:tcPr>
          <w:p w14:paraId="2DC60B8D">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0.0000</w:t>
            </w:r>
          </w:p>
        </w:tc>
        <w:tc>
          <w:tcPr>
            <w:tcW w:w="2841" w:type="dxa"/>
          </w:tcPr>
          <w:p w14:paraId="0592AC5D">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0.00</w:t>
            </w:r>
          </w:p>
        </w:tc>
      </w:tr>
      <w:tr w14:paraId="51633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40F2D07">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规划建设</w:t>
            </w:r>
          </w:p>
        </w:tc>
        <w:tc>
          <w:tcPr>
            <w:tcW w:w="2841" w:type="dxa"/>
          </w:tcPr>
          <w:p w14:paraId="77B9F67F">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1.1498</w:t>
            </w:r>
          </w:p>
        </w:tc>
        <w:tc>
          <w:tcPr>
            <w:tcW w:w="2841" w:type="dxa"/>
          </w:tcPr>
          <w:p w14:paraId="287ABB36">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100.00</w:t>
            </w:r>
          </w:p>
        </w:tc>
      </w:tr>
      <w:tr w14:paraId="7A37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14989FF">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合计</w:t>
            </w:r>
          </w:p>
        </w:tc>
        <w:tc>
          <w:tcPr>
            <w:tcW w:w="2841" w:type="dxa"/>
          </w:tcPr>
          <w:p w14:paraId="6A3D69F8">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1.1498</w:t>
            </w:r>
          </w:p>
        </w:tc>
        <w:tc>
          <w:tcPr>
            <w:tcW w:w="2841" w:type="dxa"/>
          </w:tcPr>
          <w:p w14:paraId="0EBB61B0">
            <w:pPr>
              <w:widowControl w:val="0"/>
              <w:ind w:left="0" w:leftChars="0" w:firstLine="0" w:firstLineChars="0"/>
              <w:jc w:val="center"/>
              <w:rPr>
                <w:rFonts w:hint="default" w:ascii="Times New Roman" w:hAnsi="Times New Roman" w:eastAsia="仿宋_GB2312" w:cs="Times New Roman"/>
                <w:b w:val="0"/>
                <w:bCs w:val="0"/>
                <w:sz w:val="24"/>
                <w:szCs w:val="24"/>
                <w:vertAlign w:val="baseline"/>
                <w:lang w:val="en-US" w:eastAsia="zh-CN"/>
              </w:rPr>
            </w:pPr>
            <w:r>
              <w:rPr>
                <w:rFonts w:hint="default" w:ascii="Times New Roman" w:hAnsi="Times New Roman" w:eastAsia="仿宋_GB2312" w:cs="Times New Roman"/>
                <w:b w:val="0"/>
                <w:bCs w:val="0"/>
                <w:sz w:val="24"/>
                <w:szCs w:val="24"/>
                <w:vertAlign w:val="baseline"/>
                <w:lang w:val="en-US" w:eastAsia="zh-CN"/>
              </w:rPr>
              <w:t>100.00</w:t>
            </w:r>
          </w:p>
        </w:tc>
      </w:tr>
    </w:tbl>
    <w:p w14:paraId="7ED93E7C">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sz w:val="32"/>
          <w:szCs w:val="32"/>
          <w:lang w:val="en-US" w:eastAsia="zh-CN"/>
        </w:rPr>
        <w:t>基础设施条件</w:t>
      </w:r>
    </w:p>
    <w:p w14:paraId="4B95D03D">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（1）交通设施</w:t>
      </w:r>
    </w:p>
    <w:p w14:paraId="3A5F68F8">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rPr>
        <w:t>本片区紧邻</w:t>
      </w:r>
      <w:r>
        <w:rPr>
          <w:rFonts w:hint="default" w:ascii="Times New Roman" w:hAnsi="Times New Roman" w:eastAsia="方正仿宋_GBK" w:cs="Times New Roman"/>
          <w:b w:val="0"/>
          <w:bCs w:val="0"/>
          <w:sz w:val="32"/>
          <w:szCs w:val="32"/>
          <w:lang w:val="en-US" w:eastAsia="zh-CN"/>
        </w:rPr>
        <w:t>盐洛高速、长深高速、</w:t>
      </w:r>
      <w:r>
        <w:rPr>
          <w:rFonts w:hint="default" w:ascii="Times New Roman" w:hAnsi="Times New Roman" w:eastAsia="方正仿宋_GBK" w:cs="Times New Roman"/>
          <w:b w:val="0"/>
          <w:bCs w:val="0"/>
          <w:sz w:val="32"/>
          <w:szCs w:val="32"/>
        </w:rPr>
        <w:t>G20</w:t>
      </w:r>
      <w:r>
        <w:rPr>
          <w:rFonts w:hint="default"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国道，临近</w:t>
      </w:r>
      <w:r>
        <w:rPr>
          <w:rFonts w:hint="default" w:ascii="Times New Roman" w:hAnsi="Times New Roman" w:eastAsia="方正仿宋_GBK" w:cs="Times New Roman"/>
          <w:b w:val="0"/>
          <w:bCs w:val="0"/>
          <w:sz w:val="32"/>
          <w:szCs w:val="32"/>
          <w:lang w:val="en-US" w:eastAsia="zh-CN"/>
        </w:rPr>
        <w:t>武墩工业园</w:t>
      </w:r>
      <w:r>
        <w:rPr>
          <w:rFonts w:hint="default" w:ascii="Times New Roman" w:hAnsi="Times New Roman" w:eastAsia="方正仿宋_GBK" w:cs="Times New Roman"/>
          <w:b w:val="0"/>
          <w:bCs w:val="0"/>
          <w:sz w:val="32"/>
          <w:szCs w:val="32"/>
        </w:rPr>
        <w:t>内部路网，对外外联干线通畅、片区内部通行基础条件良好。</w:t>
      </w:r>
    </w:p>
    <w:p w14:paraId="27DAA08F">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（2）市政设施</w:t>
      </w:r>
    </w:p>
    <w:p w14:paraId="45F66BDB">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尚未配套完整系统化市政管网，片区整体缺少统一布局的产业防护绿化、环卫中转、应急配套、等公用配套设施，但片区临近武墩街道建成区，可接驳建成区中已建成给水、排水、电力、通信等基础市政管线。</w:t>
      </w:r>
    </w:p>
    <w:p w14:paraId="442600D7">
      <w:pPr>
        <w:keepNext w:val="0"/>
        <w:keepLines w:val="0"/>
        <w:pageBreakBefore w:val="0"/>
        <w:widowControl/>
        <w:kinsoku/>
        <w:wordWrap/>
        <w:overflowPunct/>
        <w:topLinePunct w:val="0"/>
        <w:autoSpaceDE/>
        <w:autoSpaceDN/>
        <w:bidi w:val="0"/>
        <w:adjustRightInd/>
        <w:snapToGrid/>
        <w:spacing w:line="560" w:lineRule="exact"/>
        <w:ind w:firstLine="643"/>
        <w:textAlignment w:val="auto"/>
        <w:outlineLvl w:val="1"/>
        <w:rPr>
          <w:rFonts w:hint="default" w:ascii="Times New Roman" w:hAnsi="Times New Roman" w:eastAsia="方正楷体_GBK" w:cs="Times New Roman"/>
          <w:b w:val="0"/>
          <w:bCs/>
          <w:kern w:val="0"/>
          <w:sz w:val="32"/>
          <w:szCs w:val="32"/>
          <w:lang w:bidi="ar"/>
        </w:rPr>
      </w:pPr>
      <w:r>
        <w:rPr>
          <w:rFonts w:hint="default" w:ascii="Times New Roman" w:hAnsi="Times New Roman" w:eastAsia="方正楷体_GBK" w:cs="Times New Roman"/>
          <w:b w:val="0"/>
          <w:bCs/>
          <w:kern w:val="0"/>
          <w:sz w:val="32"/>
          <w:szCs w:val="32"/>
          <w:lang w:bidi="ar"/>
        </w:rPr>
        <w:t>（</w:t>
      </w:r>
      <w:r>
        <w:rPr>
          <w:rFonts w:hint="default" w:ascii="Times New Roman" w:hAnsi="Times New Roman" w:eastAsia="方正楷体_GBK" w:cs="Times New Roman"/>
          <w:b w:val="0"/>
          <w:bCs/>
          <w:kern w:val="0"/>
          <w:sz w:val="32"/>
          <w:szCs w:val="32"/>
          <w:lang w:val="en-US" w:eastAsia="zh-CN" w:bidi="ar"/>
        </w:rPr>
        <w:t>二</w:t>
      </w:r>
      <w:r>
        <w:rPr>
          <w:rFonts w:hint="default" w:ascii="Times New Roman" w:hAnsi="Times New Roman" w:eastAsia="方正楷体_GBK" w:cs="Times New Roman"/>
          <w:b w:val="0"/>
          <w:bCs/>
          <w:kern w:val="0"/>
          <w:sz w:val="32"/>
          <w:szCs w:val="32"/>
          <w:lang w:bidi="ar"/>
        </w:rPr>
        <w:t>）符合国土空间规划情况</w:t>
      </w:r>
    </w:p>
    <w:p w14:paraId="43F6E6C2">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1</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sz w:val="32"/>
          <w:szCs w:val="32"/>
          <w:lang w:val="en-US" w:eastAsia="zh-CN"/>
        </w:rPr>
        <w:t>与国土空间总体规划的衔接情况</w:t>
      </w:r>
    </w:p>
    <w:p w14:paraId="147594DD">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本片区与《淮安市清江浦区国土空间分区规划（2021‑2035年）》成果进行衔接，经核查，均位于国土空间</w:t>
      </w:r>
      <w:r>
        <w:rPr>
          <w:rFonts w:hint="default" w:ascii="Times New Roman" w:hAnsi="Times New Roman" w:eastAsia="方正仿宋_GBK" w:cs="Times New Roman"/>
          <w:b w:val="0"/>
          <w:bCs w:val="0"/>
          <w:sz w:val="32"/>
          <w:szCs w:val="32"/>
          <w:lang w:val="en-US" w:eastAsia="zh-CN"/>
        </w:rPr>
        <w:t>分区</w:t>
      </w:r>
      <w:r>
        <w:rPr>
          <w:rFonts w:hint="default" w:ascii="Times New Roman" w:hAnsi="Times New Roman" w:eastAsia="方正仿宋_GBK" w:cs="Times New Roman"/>
          <w:b w:val="0"/>
          <w:bCs w:val="0"/>
          <w:sz w:val="32"/>
          <w:szCs w:val="32"/>
        </w:rPr>
        <w:t>规划确定的城镇开发边界范围内，满足自然资源部土地征收成片开发标准相关规定。</w:t>
      </w:r>
    </w:p>
    <w:p w14:paraId="2EA18AC8">
      <w:pPr>
        <w:ind w:firstLine="0" w:firstLineChars="0"/>
        <w:jc w:val="center"/>
        <w:rPr>
          <w:rFonts w:hint="default" w:ascii="Times New Roman" w:hAnsi="Times New Roman" w:eastAsia="仿宋_GB2312" w:cs="Times New Roman"/>
          <w:b/>
          <w:kern w:val="0"/>
          <w:sz w:val="30"/>
          <w:szCs w:val="30"/>
        </w:rPr>
      </w:pPr>
      <w:r>
        <w:rPr>
          <w:rFonts w:hint="default" w:ascii="Times New Roman" w:hAnsi="Times New Roman" w:eastAsia="仿宋_GB2312" w:cs="Times New Roman"/>
          <w:b/>
          <w:kern w:val="0"/>
          <w:sz w:val="30"/>
          <w:szCs w:val="30"/>
        </w:rPr>
        <w:drawing>
          <wp:inline distT="0" distB="0" distL="114300" distR="114300">
            <wp:extent cx="5270500" cy="3727450"/>
            <wp:effectExtent l="0" t="0" r="0" b="6350"/>
            <wp:docPr id="2" name="图片 2" descr="C:/Users/Administrator/Desktop/淮安成片开发.jpg淮安成片开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淮安成片开发.jpg淮安成片开发"/>
                    <pic:cNvPicPr>
                      <a:picLocks noChangeAspect="1"/>
                    </pic:cNvPicPr>
                  </pic:nvPicPr>
                  <pic:blipFill>
                    <a:blip r:embed="rId8"/>
                    <a:srcRect t="30" b="30"/>
                    <a:stretch>
                      <a:fillRect/>
                    </a:stretch>
                  </pic:blipFill>
                  <pic:spPr>
                    <a:xfrm>
                      <a:off x="0" y="0"/>
                      <a:ext cx="5270500" cy="3727450"/>
                    </a:xfrm>
                    <a:prstGeom prst="rect">
                      <a:avLst/>
                    </a:prstGeom>
                    <a:noFill/>
                    <a:ln>
                      <a:noFill/>
                    </a:ln>
                  </pic:spPr>
                </pic:pic>
              </a:graphicData>
            </a:graphic>
          </wp:inline>
        </w:drawing>
      </w:r>
    </w:p>
    <w:p w14:paraId="3BA87C9C">
      <w:pPr>
        <w:ind w:firstLine="0" w:firstLineChars="0"/>
        <w:jc w:val="center"/>
        <w:rPr>
          <w:rFonts w:hint="default" w:ascii="Times New Roman" w:hAnsi="Times New Roman" w:eastAsia="仿宋_GB2312" w:cs="Times New Roman"/>
          <w:b/>
          <w:kern w:val="0"/>
          <w:sz w:val="30"/>
          <w:szCs w:val="30"/>
        </w:rPr>
      </w:pPr>
      <w:r>
        <w:rPr>
          <w:rFonts w:hint="default" w:ascii="Times New Roman" w:hAnsi="Times New Roman" w:eastAsia="仿宋_GB2312" w:cs="Times New Roman"/>
          <w:b/>
          <w:kern w:val="0"/>
          <w:sz w:val="30"/>
          <w:szCs w:val="30"/>
        </w:rPr>
        <w:drawing>
          <wp:inline distT="0" distB="0" distL="114300" distR="114300">
            <wp:extent cx="5270500" cy="3727450"/>
            <wp:effectExtent l="0" t="0" r="0" b="6350"/>
            <wp:docPr id="3" name="图片 3" descr="C:/Users/Administrator/Desktop/淮安成片开发.jpg淮安成片开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淮安成片开发.jpg淮安成片开发"/>
                    <pic:cNvPicPr>
                      <a:picLocks noChangeAspect="1"/>
                    </pic:cNvPicPr>
                  </pic:nvPicPr>
                  <pic:blipFill>
                    <a:blip r:embed="rId9"/>
                    <a:srcRect t="30" b="30"/>
                    <a:stretch>
                      <a:fillRect/>
                    </a:stretch>
                  </pic:blipFill>
                  <pic:spPr>
                    <a:xfrm>
                      <a:off x="0" y="0"/>
                      <a:ext cx="5270500" cy="3727450"/>
                    </a:xfrm>
                    <a:prstGeom prst="rect">
                      <a:avLst/>
                    </a:prstGeom>
                    <a:noFill/>
                    <a:ln>
                      <a:noFill/>
                    </a:ln>
                  </pic:spPr>
                </pic:pic>
              </a:graphicData>
            </a:graphic>
          </wp:inline>
        </w:drawing>
      </w:r>
    </w:p>
    <w:p w14:paraId="2C07DAA9">
      <w:pPr>
        <w:ind w:firstLine="0" w:firstLineChars="0"/>
        <w:jc w:val="center"/>
        <w:rPr>
          <w:rFonts w:hint="default" w:ascii="Times New Roman" w:hAnsi="Times New Roman" w:eastAsia="仿宋_GB2312" w:cs="Times New Roman"/>
          <w:b/>
          <w:bCs/>
          <w:sz w:val="30"/>
          <w:szCs w:val="30"/>
          <w:lang w:eastAsia="zh-CN"/>
        </w:rPr>
      </w:pPr>
      <w:r>
        <w:rPr>
          <w:rFonts w:hint="default" w:ascii="Times New Roman" w:hAnsi="Times New Roman" w:eastAsia="仿宋_GB2312" w:cs="Times New Roman"/>
          <w:b/>
          <w:bCs/>
          <w:sz w:val="24"/>
        </w:rPr>
        <w:t>片区</w:t>
      </w:r>
      <w:r>
        <w:rPr>
          <w:rFonts w:hint="default" w:ascii="Times New Roman" w:hAnsi="Times New Roman" w:eastAsia="仿宋_GB2312" w:cs="Times New Roman"/>
          <w:b/>
          <w:bCs/>
          <w:sz w:val="24"/>
          <w:lang w:val="en-US" w:eastAsia="zh-CN"/>
        </w:rPr>
        <w:t>与城镇开发边界衔接</w:t>
      </w:r>
      <w:r>
        <w:rPr>
          <w:rFonts w:hint="default" w:ascii="Times New Roman" w:hAnsi="Times New Roman" w:eastAsia="仿宋_GB2312" w:cs="Times New Roman"/>
          <w:b/>
          <w:bCs/>
          <w:sz w:val="24"/>
        </w:rPr>
        <w:t>图</w:t>
      </w:r>
    </w:p>
    <w:p w14:paraId="7F4301C4">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sz w:val="32"/>
          <w:szCs w:val="32"/>
          <w:lang w:val="en-US" w:eastAsia="zh-CN"/>
        </w:rPr>
        <w:t>与详细规划的衔接情况</w:t>
      </w:r>
    </w:p>
    <w:p w14:paraId="1009FE3A">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本片</w:t>
      </w:r>
      <w:r>
        <w:rPr>
          <w:rFonts w:hint="default" w:ascii="Times New Roman" w:hAnsi="Times New Roman" w:eastAsia="方正仿宋_GBK" w:cs="Times New Roman"/>
          <w:b w:val="0"/>
          <w:bCs w:val="0"/>
          <w:sz w:val="32"/>
          <w:szCs w:val="32"/>
          <w:highlight w:val="none"/>
        </w:rPr>
        <w:t>区位于</w:t>
      </w:r>
      <w:r>
        <w:rPr>
          <w:rFonts w:hint="default" w:ascii="Times New Roman" w:hAnsi="Times New Roman" w:eastAsia="方正仿宋_GBK" w:cs="Times New Roman"/>
          <w:b w:val="0"/>
          <w:bCs w:val="0"/>
          <w:sz w:val="32"/>
          <w:szCs w:val="32"/>
          <w:highlight w:val="none"/>
          <w:lang w:eastAsia="zh-CN"/>
        </w:rPr>
        <w:t>《</w:t>
      </w:r>
      <w:r>
        <w:rPr>
          <w:rFonts w:hint="default" w:ascii="Times New Roman" w:hAnsi="Times New Roman" w:eastAsia="方正仿宋_GBK" w:cs="Times New Roman"/>
          <w:b w:val="0"/>
          <w:bCs w:val="0"/>
          <w:sz w:val="32"/>
          <w:szCs w:val="32"/>
          <w:highlight w:val="none"/>
        </w:rPr>
        <w:t>市政府关于淮安市清江浦区武墩街道单元详细规划等规划编制修改的批复</w:t>
      </w:r>
      <w:r>
        <w:rPr>
          <w:rFonts w:hint="default" w:ascii="Times New Roman" w:hAnsi="Times New Roman" w:eastAsia="方正仿宋_GBK" w:cs="Times New Roman"/>
          <w:b w:val="0"/>
          <w:bCs w:val="0"/>
          <w:sz w:val="32"/>
          <w:szCs w:val="32"/>
          <w:highlight w:val="none"/>
          <w:lang w:eastAsia="zh-CN"/>
        </w:rPr>
        <w:t>》（</w:t>
      </w:r>
      <w:r>
        <w:rPr>
          <w:rFonts w:hint="default" w:ascii="Times New Roman" w:hAnsi="Times New Roman" w:eastAsia="方正仿宋_GBK" w:cs="Times New Roman"/>
          <w:b w:val="0"/>
          <w:bCs w:val="0"/>
          <w:sz w:val="32"/>
          <w:szCs w:val="32"/>
          <w:highlight w:val="none"/>
          <w:lang w:val="en-US" w:eastAsia="zh-CN"/>
        </w:rPr>
        <w:t>淮</w:t>
      </w:r>
      <w:r>
        <w:rPr>
          <w:rFonts w:hint="default" w:ascii="Times New Roman" w:hAnsi="Times New Roman" w:eastAsia="方正仿宋_GBK" w:cs="Times New Roman"/>
          <w:b w:val="0"/>
          <w:bCs w:val="0"/>
          <w:sz w:val="32"/>
          <w:szCs w:val="32"/>
          <w:highlight w:val="none"/>
          <w:lang w:eastAsia="zh-CN"/>
        </w:rPr>
        <w:t>政规复</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eastAsia="zh-CN"/>
        </w:rPr>
        <w:t>202</w:t>
      </w:r>
      <w:r>
        <w:rPr>
          <w:rFonts w:hint="default" w:ascii="Times New Roman" w:hAnsi="Times New Roman" w:eastAsia="方正仿宋_GBK" w:cs="Times New Roman"/>
          <w:b w:val="0"/>
          <w:bCs w:val="0"/>
          <w:sz w:val="32"/>
          <w:szCs w:val="32"/>
          <w:highlight w:val="none"/>
          <w:lang w:val="en-US" w:eastAsia="zh-CN"/>
        </w:rPr>
        <w:t>4〕102</w:t>
      </w:r>
      <w:r>
        <w:rPr>
          <w:rFonts w:hint="default" w:ascii="Times New Roman" w:hAnsi="Times New Roman" w:eastAsia="方正仿宋_GBK" w:cs="Times New Roman"/>
          <w:b w:val="0"/>
          <w:bCs w:val="0"/>
          <w:sz w:val="32"/>
          <w:szCs w:val="32"/>
          <w:highlight w:val="none"/>
          <w:lang w:eastAsia="zh-CN"/>
        </w:rPr>
        <w:t>号）</w:t>
      </w:r>
      <w:r>
        <w:rPr>
          <w:rFonts w:hint="default" w:ascii="Times New Roman" w:hAnsi="Times New Roman" w:eastAsia="方正仿宋_GBK" w:cs="Times New Roman"/>
          <w:b w:val="0"/>
          <w:bCs w:val="0"/>
          <w:sz w:val="32"/>
          <w:szCs w:val="32"/>
          <w:highlight w:val="none"/>
          <w:lang w:val="en-US" w:eastAsia="zh-CN"/>
        </w:rPr>
        <w:t>范围内</w:t>
      </w:r>
      <w:r>
        <w:rPr>
          <w:rFonts w:hint="default" w:ascii="Times New Roman" w:hAnsi="Times New Roman" w:eastAsia="方正仿宋_GBK" w:cs="Times New Roman"/>
          <w:b w:val="0"/>
          <w:bCs w:val="0"/>
          <w:sz w:val="32"/>
          <w:szCs w:val="32"/>
          <w:highlight w:val="none"/>
        </w:rPr>
        <w:t>，</w:t>
      </w:r>
      <w:r>
        <w:rPr>
          <w:rFonts w:hint="default" w:ascii="Times New Roman" w:hAnsi="Times New Roman" w:eastAsia="方正仿宋_GBK" w:cs="Times New Roman"/>
          <w:b w:val="0"/>
          <w:bCs w:val="0"/>
          <w:sz w:val="32"/>
          <w:szCs w:val="32"/>
        </w:rPr>
        <w:t>用地性质与详规一致。主要规划用途为</w:t>
      </w:r>
      <w:r>
        <w:rPr>
          <w:rFonts w:hint="default" w:ascii="Times New Roman" w:hAnsi="Times New Roman" w:eastAsia="方正仿宋_GBK" w:cs="Times New Roman"/>
          <w:b w:val="0"/>
          <w:bCs w:val="0"/>
          <w:sz w:val="32"/>
          <w:szCs w:val="32"/>
          <w:lang w:val="en-US" w:eastAsia="zh-CN"/>
        </w:rPr>
        <w:t>工矿</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交通运输。</w:t>
      </w:r>
    </w:p>
    <w:p w14:paraId="56E09834">
      <w:pPr>
        <w:ind w:firstLine="0" w:firstLineChars="0"/>
        <w:jc w:val="center"/>
        <w:rPr>
          <w:rFonts w:hint="default" w:ascii="Times New Roman" w:hAnsi="Times New Roman" w:eastAsia="仿宋_GB2312" w:cs="Times New Roman"/>
          <w:b/>
          <w:kern w:val="0"/>
          <w:sz w:val="30"/>
          <w:szCs w:val="30"/>
        </w:rPr>
      </w:pPr>
      <w:r>
        <w:rPr>
          <w:rFonts w:hint="default" w:ascii="Times New Roman" w:hAnsi="Times New Roman" w:eastAsia="仿宋_GB2312" w:cs="Times New Roman"/>
          <w:b/>
          <w:kern w:val="0"/>
          <w:sz w:val="30"/>
          <w:szCs w:val="30"/>
        </w:rPr>
        <w:drawing>
          <wp:inline distT="0" distB="0" distL="114300" distR="114300">
            <wp:extent cx="5270500" cy="3727450"/>
            <wp:effectExtent l="0" t="0" r="0" b="6350"/>
            <wp:docPr id="4" name="图片 4" descr="C:/Users/Administrator/Desktop/淮安成片开发.jpg淮安成片开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淮安成片开发.jpg淮安成片开发"/>
                    <pic:cNvPicPr>
                      <a:picLocks noChangeAspect="1"/>
                    </pic:cNvPicPr>
                  </pic:nvPicPr>
                  <pic:blipFill>
                    <a:blip r:embed="rId10"/>
                    <a:srcRect t="30" b="30"/>
                    <a:stretch>
                      <a:fillRect/>
                    </a:stretch>
                  </pic:blipFill>
                  <pic:spPr>
                    <a:xfrm>
                      <a:off x="0" y="0"/>
                      <a:ext cx="5270500" cy="3727450"/>
                    </a:xfrm>
                    <a:prstGeom prst="rect">
                      <a:avLst/>
                    </a:prstGeom>
                    <a:noFill/>
                    <a:ln>
                      <a:noFill/>
                    </a:ln>
                  </pic:spPr>
                </pic:pic>
              </a:graphicData>
            </a:graphic>
          </wp:inline>
        </w:drawing>
      </w:r>
    </w:p>
    <w:p w14:paraId="2D24A8D2">
      <w:pPr>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片区</w:t>
      </w:r>
      <w:r>
        <w:rPr>
          <w:rFonts w:hint="default" w:ascii="Times New Roman" w:hAnsi="Times New Roman" w:eastAsia="仿宋_GB2312" w:cs="Times New Roman"/>
          <w:b/>
          <w:bCs/>
          <w:sz w:val="24"/>
          <w:lang w:val="en-US" w:eastAsia="zh-CN"/>
        </w:rPr>
        <w:t>与详细规划衔接</w:t>
      </w:r>
      <w:r>
        <w:rPr>
          <w:rFonts w:hint="default" w:ascii="Times New Roman" w:hAnsi="Times New Roman" w:eastAsia="仿宋_GB2312" w:cs="Times New Roman"/>
          <w:b/>
          <w:bCs/>
          <w:sz w:val="24"/>
        </w:rPr>
        <w:t>图</w:t>
      </w:r>
    </w:p>
    <w:p w14:paraId="647564E7">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outlineLvl w:val="0"/>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二</w:t>
      </w:r>
      <w:r>
        <w:rPr>
          <w:rFonts w:hint="default" w:ascii="Times New Roman" w:hAnsi="Times New Roman" w:eastAsia="方正黑体_GBK" w:cs="Times New Roman"/>
          <w:sz w:val="32"/>
          <w:szCs w:val="32"/>
        </w:rPr>
        <w:t>、成片开发</w:t>
      </w:r>
      <w:r>
        <w:rPr>
          <w:rFonts w:hint="default" w:ascii="Times New Roman" w:hAnsi="Times New Roman" w:eastAsia="方正黑体_GBK" w:cs="Times New Roman"/>
          <w:sz w:val="32"/>
          <w:szCs w:val="32"/>
          <w:lang w:eastAsia="zh-CN"/>
        </w:rPr>
        <w:t>的</w:t>
      </w:r>
      <w:r>
        <w:rPr>
          <w:rFonts w:hint="default" w:ascii="Times New Roman" w:hAnsi="Times New Roman" w:eastAsia="方正黑体_GBK" w:cs="Times New Roman"/>
          <w:sz w:val="32"/>
          <w:szCs w:val="32"/>
          <w:lang w:val="en-US" w:eastAsia="zh-CN"/>
        </w:rPr>
        <w:t>必要性</w:t>
      </w:r>
    </w:p>
    <w:p w14:paraId="681A65A2">
      <w:pPr>
        <w:keepNext w:val="0"/>
        <w:keepLines w:val="0"/>
        <w:pageBreakBefore w:val="0"/>
        <w:widowControl/>
        <w:kinsoku/>
        <w:wordWrap/>
        <w:overflowPunct/>
        <w:topLinePunct w:val="0"/>
        <w:autoSpaceDE/>
        <w:autoSpaceDN/>
        <w:bidi w:val="0"/>
        <w:adjustRightInd/>
        <w:snapToGrid/>
        <w:spacing w:line="560" w:lineRule="exact"/>
        <w:ind w:firstLine="643"/>
        <w:jc w:val="both"/>
        <w:textAlignment w:val="auto"/>
        <w:outlineLvl w:val="1"/>
        <w:rPr>
          <w:rFonts w:hint="default" w:ascii="Times New Roman" w:hAnsi="Times New Roman" w:eastAsia="方正楷体_GBK" w:cs="Times New Roman"/>
          <w:b w:val="0"/>
          <w:bCs/>
          <w:kern w:val="0"/>
          <w:sz w:val="32"/>
          <w:szCs w:val="32"/>
          <w:lang w:bidi="ar"/>
        </w:rPr>
      </w:pPr>
      <w:r>
        <w:rPr>
          <w:rFonts w:hint="default" w:ascii="Times New Roman" w:hAnsi="Times New Roman" w:eastAsia="方正楷体_GBK" w:cs="Times New Roman"/>
          <w:b w:val="0"/>
          <w:bCs/>
          <w:kern w:val="0"/>
          <w:sz w:val="32"/>
          <w:szCs w:val="32"/>
          <w:lang w:bidi="ar"/>
        </w:rPr>
        <w:t>（一）契合经济社会发展目标</w:t>
      </w:r>
    </w:p>
    <w:p w14:paraId="0A8879E5">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本次成片开发契合多重法定规划及年度发展目标，符合《淮安市清江浦区国土空间分区规划（2021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2035年）》关于武墩工业园片区连片集约开发、统筹配置基础设施与公益配套的空间管控要求，落实武墩工业园都市型先进制造、生产性服务配套、专精特新产业集聚发展的规划定位，承接清江浦区武墩街道产城融合提质、存量低效用地盘活、补齐产业与民生配套的更新任务，对接清江浦区国民经济和社会发展第十五个五年规划纲要完善南部产业承载能级、推进园区扩容升级与征地安置安居工程的中长期发展部署，同时完成清江浦区及武墩街道年度国民经济和社会发展计划明确的产业片区成片开发、市政公用设施共建共享、生态防护与公共服务配套落地等年度重点工作。本次土地征收成片开发整体纳入武墩工业园统筹发展格局，完全契合各级法定规划、产业布局导向与年度经济社会发展重点任务要求。</w:t>
      </w:r>
    </w:p>
    <w:p w14:paraId="0467D2D0">
      <w:pPr>
        <w:keepNext w:val="0"/>
        <w:keepLines w:val="0"/>
        <w:pageBreakBefore w:val="0"/>
        <w:widowControl/>
        <w:kinsoku/>
        <w:wordWrap/>
        <w:overflowPunct/>
        <w:topLinePunct w:val="0"/>
        <w:autoSpaceDE/>
        <w:autoSpaceDN/>
        <w:bidi w:val="0"/>
        <w:adjustRightInd/>
        <w:snapToGrid/>
        <w:spacing w:line="560" w:lineRule="exact"/>
        <w:ind w:firstLine="643"/>
        <w:jc w:val="both"/>
        <w:textAlignment w:val="auto"/>
        <w:outlineLvl w:val="1"/>
        <w:rPr>
          <w:rFonts w:hint="default" w:ascii="Times New Roman" w:hAnsi="Times New Roman" w:eastAsia="方正楷体_GBK" w:cs="Times New Roman"/>
          <w:b w:val="0"/>
          <w:bCs/>
          <w:kern w:val="0"/>
          <w:sz w:val="32"/>
          <w:szCs w:val="32"/>
          <w:lang w:bidi="ar"/>
        </w:rPr>
      </w:pPr>
      <w:r>
        <w:rPr>
          <w:rFonts w:hint="default" w:ascii="Times New Roman" w:hAnsi="Times New Roman" w:eastAsia="方正楷体_GBK" w:cs="Times New Roman"/>
          <w:b w:val="0"/>
          <w:bCs/>
          <w:kern w:val="0"/>
          <w:sz w:val="32"/>
          <w:szCs w:val="32"/>
          <w:lang w:bidi="ar"/>
        </w:rPr>
        <w:t>（</w:t>
      </w:r>
      <w:r>
        <w:rPr>
          <w:rFonts w:hint="default" w:ascii="Times New Roman" w:hAnsi="Times New Roman" w:eastAsia="方正楷体_GBK" w:cs="Times New Roman"/>
          <w:b w:val="0"/>
          <w:bCs/>
          <w:kern w:val="0"/>
          <w:sz w:val="32"/>
          <w:szCs w:val="32"/>
          <w:lang w:val="en-US" w:eastAsia="zh-CN" w:bidi="ar"/>
        </w:rPr>
        <w:t>二</w:t>
      </w:r>
      <w:r>
        <w:rPr>
          <w:rFonts w:hint="default" w:ascii="Times New Roman" w:hAnsi="Times New Roman" w:eastAsia="方正楷体_GBK" w:cs="Times New Roman"/>
          <w:b w:val="0"/>
          <w:bCs/>
          <w:kern w:val="0"/>
          <w:sz w:val="32"/>
          <w:szCs w:val="32"/>
          <w:lang w:bidi="ar"/>
        </w:rPr>
        <w:t>）满足公共利益需要</w:t>
      </w:r>
    </w:p>
    <w:p w14:paraId="15E10D17">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空间合规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全部位于城镇开发边界内，符合两级国土空间总体规划，无生态、永久基本农田冲突，满足自然资规</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202</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7号成片开发前置空间条件。</w:t>
      </w:r>
    </w:p>
    <w:p w14:paraId="364444ED">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公益用地达标</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片区公益性用地占比</w:t>
      </w:r>
      <w:r>
        <w:rPr>
          <w:rFonts w:hint="default" w:ascii="Times New Roman" w:hAnsi="Times New Roman" w:eastAsia="方正仿宋_GBK" w:cs="Times New Roman"/>
          <w:sz w:val="32"/>
          <w:szCs w:val="32"/>
          <w:lang w:val="en-US" w:eastAsia="zh-CN"/>
        </w:rPr>
        <w:t>20.35</w:t>
      </w:r>
      <w:r>
        <w:rPr>
          <w:rFonts w:hint="default" w:ascii="Times New Roman" w:hAnsi="Times New Roman" w:eastAsia="方正仿宋_GBK" w:cs="Times New Roman"/>
          <w:sz w:val="32"/>
          <w:szCs w:val="32"/>
        </w:rPr>
        <w:t>%，高于国家</w:t>
      </w:r>
      <w:r>
        <w:rPr>
          <w:rFonts w:hint="default" w:ascii="Times New Roman" w:hAnsi="Times New Roman" w:eastAsia="方正仿宋_GBK" w:cs="Times New Roman"/>
          <w:sz w:val="32"/>
          <w:szCs w:val="32"/>
          <w:lang w:val="en-US" w:eastAsia="zh-CN"/>
        </w:rPr>
        <w:t>20</w:t>
      </w:r>
      <w:r>
        <w:rPr>
          <w:rFonts w:hint="default" w:ascii="Times New Roman" w:hAnsi="Times New Roman" w:eastAsia="方正仿宋_GBK" w:cs="Times New Roman"/>
          <w:sz w:val="32"/>
          <w:szCs w:val="32"/>
        </w:rPr>
        <w:t>%最低管控标准，涵盖交通</w:t>
      </w:r>
      <w:r>
        <w:rPr>
          <w:rFonts w:hint="default" w:ascii="Times New Roman" w:hAnsi="Times New Roman" w:eastAsia="方正仿宋_GBK" w:cs="Times New Roman"/>
          <w:sz w:val="32"/>
          <w:szCs w:val="32"/>
          <w:lang w:val="en-US" w:eastAsia="zh-CN"/>
        </w:rPr>
        <w:t>等类</w:t>
      </w:r>
      <w:r>
        <w:rPr>
          <w:rFonts w:hint="default" w:ascii="Times New Roman" w:hAnsi="Times New Roman" w:eastAsia="方正仿宋_GBK" w:cs="Times New Roman"/>
          <w:sz w:val="32"/>
          <w:szCs w:val="32"/>
        </w:rPr>
        <w:t>型普惠公共设施。</w:t>
      </w:r>
    </w:p>
    <w:p w14:paraId="6AAFD0FB">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纳入法定计划</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成片开发已纳入</w:t>
      </w:r>
      <w:r>
        <w:rPr>
          <w:rFonts w:hint="default" w:ascii="Times New Roman" w:hAnsi="Times New Roman" w:eastAsia="方正仿宋_GBK" w:cs="Times New Roman"/>
          <w:sz w:val="32"/>
          <w:szCs w:val="32"/>
          <w:lang w:val="en-US" w:eastAsia="zh-CN"/>
        </w:rPr>
        <w:t>清江浦区</w:t>
      </w:r>
      <w:r>
        <w:rPr>
          <w:rFonts w:hint="default" w:ascii="Times New Roman" w:hAnsi="Times New Roman" w:eastAsia="方正仿宋_GBK" w:cs="Times New Roman"/>
          <w:sz w:val="32"/>
          <w:szCs w:val="32"/>
        </w:rPr>
        <w:t>年度国民经济和社会发展计划，履行人大审议程序，满足《土地管理法》第四十五条成片开发法定要件。</w:t>
      </w:r>
    </w:p>
    <w:p w14:paraId="6B0A90F0">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效益普惠均衡</w:t>
      </w:r>
      <w:r>
        <w:rPr>
          <w:rFonts w:hint="default" w:ascii="Times New Roman" w:hAnsi="Times New Roman" w:eastAsia="方正仿宋_GBK" w:cs="Times New Roman"/>
          <w:sz w:val="32"/>
          <w:szCs w:val="32"/>
          <w:lang w:eastAsia="zh-CN"/>
        </w:rPr>
        <w:t>：开发成果面向辖区全体居民普惠共享，交通等公益性用地</w:t>
      </w:r>
      <w:r>
        <w:rPr>
          <w:rFonts w:hint="default" w:ascii="Times New Roman" w:hAnsi="Times New Roman" w:eastAsia="方正仿宋_GBK" w:cs="Times New Roman"/>
          <w:sz w:val="32"/>
          <w:szCs w:val="32"/>
          <w:lang w:val="en-US" w:eastAsia="zh-CN"/>
        </w:rPr>
        <w:t>有助于提升片区环境品质，</w:t>
      </w:r>
      <w:r>
        <w:rPr>
          <w:rFonts w:hint="default" w:ascii="Times New Roman" w:hAnsi="Times New Roman" w:eastAsia="方正仿宋_GBK" w:cs="Times New Roman"/>
          <w:sz w:val="32"/>
          <w:szCs w:val="32"/>
          <w:lang w:eastAsia="zh-CN"/>
        </w:rPr>
        <w:t>项目开发资金闭环统筹用于片区道路交通等公共配套建设，切实提升片区人居环境与公共服务保障水平</w:t>
      </w:r>
      <w:r>
        <w:rPr>
          <w:rFonts w:hint="default" w:ascii="Times New Roman" w:hAnsi="Times New Roman" w:eastAsia="方正仿宋_GBK" w:cs="Times New Roman"/>
          <w:sz w:val="32"/>
          <w:szCs w:val="32"/>
        </w:rPr>
        <w:t>。</w:t>
      </w:r>
    </w:p>
    <w:p w14:paraId="17500D5E">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outlineLvl w:val="0"/>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rPr>
        <w:t>、成片开发土地功能</w:t>
      </w:r>
    </w:p>
    <w:p w14:paraId="7AFBD1C9">
      <w:pPr>
        <w:keepNext w:val="0"/>
        <w:keepLines w:val="0"/>
        <w:pageBreakBefore w:val="0"/>
        <w:widowControl/>
        <w:kinsoku/>
        <w:overflowPunct/>
        <w:topLinePunct w:val="0"/>
        <w:autoSpaceDE/>
        <w:autoSpaceDN/>
        <w:bidi w:val="0"/>
        <w:adjustRightInd/>
        <w:snapToGrid/>
        <w:spacing w:line="560" w:lineRule="exac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pacing w:val="-11"/>
          <w:sz w:val="32"/>
          <w:szCs w:val="32"/>
          <w:lang w:val="en-US" w:eastAsia="zh-CN"/>
        </w:rPr>
        <w:t>本次武墩街道普墩工业西片区（清江浦区SM320812-2026-001号</w:t>
      </w:r>
      <w:r>
        <w:rPr>
          <w:rFonts w:hint="eastAsia" w:ascii="Times New Roman" w:hAnsi="Times New Roman" w:eastAsia="方正仿宋_GBK" w:cs="Times New Roman"/>
          <w:spacing w:val="0"/>
          <w:sz w:val="32"/>
          <w:szCs w:val="32"/>
          <w:lang w:val="en-US" w:eastAsia="zh-CN"/>
        </w:rPr>
        <w:t>）片</w:t>
      </w:r>
      <w:r>
        <w:rPr>
          <w:rFonts w:hint="eastAsia" w:ascii="Times New Roman" w:hAnsi="Times New Roman" w:eastAsia="方正仿宋_GBK" w:cs="Times New Roman"/>
          <w:sz w:val="32"/>
          <w:szCs w:val="32"/>
          <w:lang w:val="en-US" w:eastAsia="zh-CN"/>
        </w:rPr>
        <w:t>区总用地面积1.1498公顷，依据《淮安市清江浦区武墩街道详细规划（2024-2035年）》，片区土地规划用途及占比详见下表。</w:t>
      </w:r>
    </w:p>
    <w:p w14:paraId="140BE443">
      <w:pPr>
        <w:jc w:val="center"/>
        <w:rPr>
          <w:rFonts w:hint="default" w:ascii="Times New Roman" w:hAnsi="Times New Roman" w:eastAsia="仿宋_GB2312" w:cs="Times New Roman"/>
          <w:b/>
          <w:bCs/>
          <w:sz w:val="28"/>
          <w:szCs w:val="28"/>
        </w:rPr>
      </w:pPr>
    </w:p>
    <w:p w14:paraId="7AD44055">
      <w:pPr>
        <w:ind w:left="0" w:lef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土地规划用途分类面积表</w:t>
      </w:r>
    </w:p>
    <w:tbl>
      <w:tblPr>
        <w:tblStyle w:val="5"/>
        <w:tblW w:w="80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57"/>
        <w:gridCol w:w="2050"/>
        <w:gridCol w:w="1872"/>
      </w:tblGrid>
      <w:tr w14:paraId="628D3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0F6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cs="Times New Roman"/>
                <w:i w:val="0"/>
                <w:iCs w:val="0"/>
                <w:color w:val="000000"/>
                <w:sz w:val="20"/>
                <w:szCs w:val="20"/>
                <w:u w:val="none"/>
                <w:lang w:val="en-US" w:eastAsia="zh-CN"/>
              </w:rPr>
              <w:t>规划用途分类</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B265">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cs="Times New Roman"/>
                <w:i w:val="0"/>
                <w:iCs w:val="0"/>
                <w:color w:val="000000"/>
                <w:sz w:val="20"/>
                <w:szCs w:val="20"/>
                <w:u w:val="none"/>
                <w:lang w:val="en-US" w:eastAsia="zh-CN"/>
              </w:rPr>
              <w:t>面积（公顷）</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2BC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cs="Times New Roman"/>
                <w:i w:val="0"/>
                <w:iCs w:val="0"/>
                <w:color w:val="000000"/>
                <w:sz w:val="20"/>
                <w:szCs w:val="20"/>
                <w:u w:val="none"/>
                <w:lang w:val="en-US" w:eastAsia="zh-CN"/>
              </w:rPr>
              <w:t>占比（%）</w:t>
            </w:r>
          </w:p>
        </w:tc>
      </w:tr>
      <w:tr w14:paraId="56F74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6AF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居住用地面积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ACD2">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0.0000</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EF0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r>
      <w:tr w14:paraId="64BE7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DE5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公共管理与公共服务用地面积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165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0.0000</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AC65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r>
      <w:tr w14:paraId="5CC21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73FC">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商业服务业用地面积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32FDC">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0.0000</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079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r>
      <w:tr w14:paraId="45F0C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4A7E">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工矿用地面积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E55D1">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0.9158</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542C">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cs="Times New Roman"/>
                <w:i w:val="0"/>
                <w:iCs w:val="0"/>
                <w:color w:val="000000"/>
                <w:kern w:val="0"/>
                <w:sz w:val="20"/>
                <w:szCs w:val="20"/>
                <w:u w:val="none"/>
                <w:lang w:val="en-US" w:eastAsia="zh-CN" w:bidi="ar"/>
              </w:rPr>
              <w:t>79.65</w:t>
            </w:r>
          </w:p>
        </w:tc>
      </w:tr>
      <w:tr w14:paraId="4B653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BB71">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仓储用地面积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82F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0.0000</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584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r>
      <w:tr w14:paraId="46D4C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F5C1">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交通运输用地面积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1E0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0.234</w:t>
            </w:r>
            <w:r>
              <w:rPr>
                <w:rFonts w:hint="default" w:ascii="Times New Roman" w:hAnsi="Times New Roman" w:cs="Times New Roman"/>
                <w:i w:val="0"/>
                <w:iCs w:val="0"/>
                <w:color w:val="000000"/>
                <w:kern w:val="0"/>
                <w:sz w:val="20"/>
                <w:szCs w:val="20"/>
                <w:u w:val="none"/>
                <w:lang w:val="en-US" w:eastAsia="zh-CN" w:bidi="ar"/>
              </w:rPr>
              <w:t>0</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9140">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cs="Times New Roman"/>
                <w:i w:val="0"/>
                <w:iCs w:val="0"/>
                <w:color w:val="000000"/>
                <w:kern w:val="0"/>
                <w:sz w:val="20"/>
                <w:szCs w:val="20"/>
                <w:u w:val="none"/>
                <w:lang w:val="en-US" w:eastAsia="zh-CN" w:bidi="ar"/>
              </w:rPr>
              <w:t>20.35</w:t>
            </w:r>
          </w:p>
        </w:tc>
      </w:tr>
      <w:tr w14:paraId="41D0B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BEF3">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公用设施用地面积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F55D">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0.0000</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564D">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r>
      <w:tr w14:paraId="437AA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9015">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绿地与开敞空间用地面积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7EC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0.0000</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8295">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r>
      <w:tr w14:paraId="464A6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3CFE">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8"/>
                <w:rFonts w:hint="default" w:ascii="Times New Roman" w:hAnsi="Times New Roman" w:cs="Times New Roman"/>
                <w:sz w:val="20"/>
                <w:szCs w:val="20"/>
                <w:lang w:val="en-US" w:eastAsia="zh-CN" w:bidi="ar"/>
              </w:rPr>
              <w:t>特殊用地面积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FBB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0.0000</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4097E">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r>
      <w:tr w14:paraId="1CB4B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B50A1">
            <w:pPr>
              <w:keepNext w:val="0"/>
              <w:keepLines w:val="0"/>
              <w:widowControl/>
              <w:suppressLineNumbers w:val="0"/>
              <w:ind w:left="0" w:leftChars="0" w:firstLine="0" w:firstLineChars="0"/>
              <w:jc w:val="center"/>
              <w:textAlignment w:val="center"/>
              <w:rPr>
                <w:rStyle w:val="8"/>
                <w:rFonts w:hint="default" w:ascii="Times New Roman" w:hAnsi="Times New Roman" w:cs="Times New Roman"/>
                <w:sz w:val="20"/>
                <w:szCs w:val="20"/>
                <w:lang w:val="en-US" w:eastAsia="zh-CN" w:bidi="ar"/>
              </w:rPr>
            </w:pPr>
            <w:r>
              <w:rPr>
                <w:rStyle w:val="8"/>
                <w:rFonts w:hint="default" w:ascii="Times New Roman" w:hAnsi="Times New Roman" w:cs="Times New Roman"/>
                <w:sz w:val="20"/>
                <w:szCs w:val="20"/>
                <w:lang w:val="en-US" w:eastAsia="zh-CN" w:bidi="ar"/>
              </w:rPr>
              <w:t>留白用地面积</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BE094">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0.0000</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06F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r>
      <w:tr w14:paraId="76BDB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DBAD">
            <w:pPr>
              <w:keepNext w:val="0"/>
              <w:keepLines w:val="0"/>
              <w:widowControl/>
              <w:suppressLineNumbers w:val="0"/>
              <w:ind w:left="0" w:leftChars="0" w:firstLine="0" w:firstLineChars="0"/>
              <w:jc w:val="center"/>
              <w:textAlignment w:val="center"/>
              <w:rPr>
                <w:rStyle w:val="8"/>
                <w:rFonts w:hint="default" w:ascii="Times New Roman" w:hAnsi="Times New Roman" w:cs="Times New Roman"/>
                <w:sz w:val="20"/>
                <w:szCs w:val="20"/>
                <w:lang w:val="en-US" w:eastAsia="zh-CN" w:bidi="ar"/>
              </w:rPr>
            </w:pPr>
            <w:r>
              <w:rPr>
                <w:rStyle w:val="8"/>
                <w:rFonts w:hint="default" w:ascii="Times New Roman" w:hAnsi="Times New Roman" w:cs="Times New Roman"/>
                <w:sz w:val="20"/>
                <w:szCs w:val="20"/>
                <w:lang w:val="en-US" w:eastAsia="zh-CN" w:bidi="ar"/>
              </w:rPr>
              <w:t>合计</w:t>
            </w:r>
          </w:p>
        </w:tc>
        <w:tc>
          <w:tcPr>
            <w:tcW w:w="2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037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cs="Times New Roman"/>
                <w:i w:val="0"/>
                <w:iCs w:val="0"/>
                <w:color w:val="000000"/>
                <w:kern w:val="0"/>
                <w:sz w:val="20"/>
                <w:szCs w:val="20"/>
                <w:u w:val="none"/>
                <w:lang w:val="en-US" w:eastAsia="zh-CN" w:bidi="ar"/>
              </w:rPr>
              <w:t>1.1498</w:t>
            </w:r>
          </w:p>
        </w:tc>
        <w:tc>
          <w:tcPr>
            <w:tcW w:w="1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82F5">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100.00</w:t>
            </w:r>
          </w:p>
        </w:tc>
      </w:tr>
    </w:tbl>
    <w:p w14:paraId="459539FB">
      <w:pPr>
        <w:keepNext w:val="0"/>
        <w:keepLines w:val="0"/>
        <w:pageBreakBefore w:val="0"/>
        <w:widowControl/>
        <w:kinsoku/>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方正仿宋_GBK" w:cs="Times New Roman"/>
          <w:sz w:val="32"/>
          <w:szCs w:val="32"/>
          <w:lang w:val="en-US" w:eastAsia="zh-CN"/>
        </w:rPr>
        <w:t>由上表可见，片区工矿用地占比79.65%，为片区核心主导用地类型；其次为交通运输用地，占比20.35%；交通运输等公益性用地合计占比20.35%，高于《土地征收成片开发标准》（自然资规〔2023〕7号）规定的公益性用地不低于20%的管控底线，完全匹配工业主导型成片开发单元管控要求。</w:t>
      </w:r>
    </w:p>
    <w:p w14:paraId="2865F254">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片区开发以工业产业集聚发展为核心功能，统筹布局片区主次干支路网等市政基础设施与生态公共配套，开发目标聚焦存量用地盘活利用、产业载体提质扩容、公用服务配套补齐完善，整体开发建设符合法定公共利益导向。</w:t>
      </w:r>
    </w:p>
    <w:p w14:paraId="2E2D743D">
      <w:pPr>
        <w:keepNext w:val="0"/>
        <w:keepLines w:val="0"/>
        <w:pageBreakBefore w:val="0"/>
        <w:widowControl/>
        <w:kinsoku/>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val="en-US" w:eastAsia="zh-CN"/>
        </w:rPr>
        <w:t>结论</w:t>
      </w:r>
    </w:p>
    <w:p w14:paraId="6F863602">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综上，在上述成片开发范围内开展土地征收符合公共利益。</w:t>
      </w:r>
    </w:p>
    <w:p w14:paraId="5072D0FA">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特此说明。</w:t>
      </w:r>
    </w:p>
    <w:p w14:paraId="76BE1003">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default" w:ascii="Times New Roman" w:hAnsi="Times New Roman" w:eastAsia="方正仿宋_GBK" w:cs="Times New Roman"/>
          <w:sz w:val="32"/>
          <w:szCs w:val="32"/>
          <w:lang w:val="en-US" w:eastAsia="zh-CN"/>
        </w:rPr>
      </w:pPr>
    </w:p>
    <w:p w14:paraId="2716E7BA">
      <w:pPr>
        <w:keepNext w:val="0"/>
        <w:keepLines w:val="0"/>
        <w:pageBreakBefore w:val="0"/>
        <w:widowControl/>
        <w:kinsoku/>
        <w:wordWrap/>
        <w:overflowPunct/>
        <w:topLinePunct w:val="0"/>
        <w:autoSpaceDE/>
        <w:autoSpaceDN/>
        <w:bidi w:val="0"/>
        <w:adjustRightInd/>
        <w:snapToGrid/>
        <w:spacing w:line="560" w:lineRule="exact"/>
        <w:ind w:firstLine="4480" w:firstLineChars="14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淮安市</w:t>
      </w:r>
      <w:r>
        <w:rPr>
          <w:rFonts w:hint="default" w:ascii="Times New Roman" w:hAnsi="Times New Roman" w:eastAsia="方正仿宋_GBK" w:cs="Times New Roman"/>
          <w:sz w:val="32"/>
          <w:szCs w:val="32"/>
          <w:lang w:val="en-US" w:eastAsia="zh-CN"/>
        </w:rPr>
        <w:t>清江浦区人民政府</w:t>
      </w:r>
    </w:p>
    <w:p w14:paraId="42BA4A0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2026年10月</w:t>
      </w: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lang w:val="en-US" w:eastAsia="zh-CN"/>
        </w:rPr>
        <w:t>日</w:t>
      </w:r>
    </w:p>
    <w:sectPr>
      <w:pgSz w:w="11906" w:h="16838"/>
      <w:pgMar w:top="1440" w:right="1689" w:bottom="1440" w:left="1689"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黑体_GBK">
    <w:altName w:val="Arial Unicode MS"/>
    <w:panose1 w:val="03000509000000000000"/>
    <w:charset w:val="86"/>
    <w:family w:val="auto"/>
    <w:pitch w:val="default"/>
    <w:sig w:usb0="00000000" w:usb1="0000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223F9D"/>
    <w:rsid w:val="09A45050"/>
    <w:rsid w:val="0BE465BE"/>
    <w:rsid w:val="0D917D86"/>
    <w:rsid w:val="0EAA4EB7"/>
    <w:rsid w:val="0F6C2284"/>
    <w:rsid w:val="0FD21F76"/>
    <w:rsid w:val="11D819B2"/>
    <w:rsid w:val="124C58F5"/>
    <w:rsid w:val="1D63165B"/>
    <w:rsid w:val="1EAF65CF"/>
    <w:rsid w:val="2B340C99"/>
    <w:rsid w:val="2CC879D2"/>
    <w:rsid w:val="3D577B32"/>
    <w:rsid w:val="3E6954C4"/>
    <w:rsid w:val="4A68622A"/>
    <w:rsid w:val="4B145617"/>
    <w:rsid w:val="54E53BD4"/>
    <w:rsid w:val="560E235D"/>
    <w:rsid w:val="5FB47BCB"/>
    <w:rsid w:val="61785D1C"/>
    <w:rsid w:val="67204597"/>
    <w:rsid w:val="698D0745"/>
    <w:rsid w:val="6F7729A2"/>
    <w:rsid w:val="70316302"/>
    <w:rsid w:val="717007BD"/>
    <w:rsid w:val="7D060228"/>
    <w:rsid w:val="7F700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01"/>
    <w:basedOn w:val="7"/>
    <w:qFormat/>
    <w:uiPriority w:val="0"/>
    <w:rPr>
      <w:rFonts w:hint="eastAsia" w:ascii="宋体" w:hAnsi="宋体" w:eastAsia="宋体" w:cs="宋体"/>
      <w:color w:val="000000"/>
      <w:sz w:val="22"/>
      <w:szCs w:val="22"/>
      <w:u w:val="none"/>
    </w:rPr>
  </w:style>
  <w:style w:type="character" w:customStyle="1" w:styleId="9">
    <w:name w:val="font21"/>
    <w:basedOn w:val="7"/>
    <w:qFormat/>
    <w:uiPriority w:val="0"/>
    <w:rPr>
      <w:rFonts w:hint="default" w:ascii="Times New Roman" w:hAnsi="Times New Roman" w:cs="Times New Roman"/>
      <w:color w:val="000000"/>
      <w:sz w:val="22"/>
      <w:szCs w:val="22"/>
      <w:u w:val="none"/>
    </w:rPr>
  </w:style>
  <w:style w:type="character" w:customStyle="1" w:styleId="10">
    <w:name w:val="font11"/>
    <w:basedOn w:val="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151</Words>
  <Characters>174</Characters>
  <Lines>0</Lines>
  <Paragraphs>0</Paragraphs>
  <TotalTime>4</TotalTime>
  <ScaleCrop>false</ScaleCrop>
  <LinksUpToDate>false</LinksUpToDate>
  <CharactersWithSpaces>174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2026-07-10T03:44:00Z</dcterms:created>
  <dc:creator>华鑫</dc:creator>
  <cp:lastModifiedBy>Amor</cp:lastModifiedBy>
  <dcterms:modified xsi:type="dcterms:W3CDTF">2026-10-21T08:34:17Z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337E821DE9D3439A9FFDD6FD0DC15656_13</vt:lpwstr>
  </property>
  <property fmtid="{D5CDD505-2E9C-101B-9397-08002B2CF9AE}" pid="4" name="KSOTemplateDocerSaveRecord">
    <vt:lpwstr>eyJoZGlkIjoiYmNlZTI5NDgzNWY1NGJlYmNmNDUyYTZkOGRiZDJjODMiLCJ1c2VySWQiOiIzOTc4ODk2NjEifQ==</vt:lpwstr>
  </property>
</Properties>
</file>